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71" w:rsidRDefault="005F0B71">
      <w:pPr>
        <w:widowControl w:val="0"/>
        <w:pBdr>
          <w:top w:val="nil"/>
          <w:left w:val="nil"/>
          <w:bottom w:val="nil"/>
          <w:right w:val="nil"/>
          <w:between w:val="nil"/>
        </w:pBdr>
        <w:spacing w:line="252" w:lineRule="auto"/>
        <w:jc w:val="both"/>
        <w:rPr>
          <w:color w:val="000000"/>
          <w:sz w:val="18"/>
          <w:szCs w:val="18"/>
        </w:rPr>
      </w:pPr>
    </w:p>
    <w:p w:rsidR="005F0B71" w:rsidRPr="00022C69" w:rsidRDefault="00022C69">
      <w:pPr>
        <w:pStyle w:val="Title"/>
        <w:rPr>
          <w:sz w:val="144"/>
        </w:rPr>
      </w:pPr>
      <w:r w:rsidRPr="00022C69">
        <w:rPr>
          <w:sz w:val="44"/>
          <w:szCs w:val="24"/>
        </w:rPr>
        <w:t>Assessment of the Effectiveness of Different Brands of Artemisinin – based Combination Therapy among Patients with Uncomplicated Falciparum Malaria</w:t>
      </w:r>
    </w:p>
    <w:p w:rsidR="005F0B71" w:rsidRDefault="00163681">
      <w:pPr>
        <w:spacing w:after="120"/>
        <w:jc w:val="center"/>
        <w:rPr>
          <w:sz w:val="24"/>
          <w:szCs w:val="24"/>
        </w:rPr>
      </w:pPr>
      <w:r>
        <w:rPr>
          <w:sz w:val="24"/>
          <w:szCs w:val="24"/>
        </w:rPr>
        <w:t>Ahmad K. Maigari</w:t>
      </w:r>
      <w:r>
        <w:rPr>
          <w:sz w:val="24"/>
          <w:szCs w:val="24"/>
          <w:vertAlign w:val="superscript"/>
        </w:rPr>
        <w:t xml:space="preserve"> *</w:t>
      </w:r>
      <w:r w:rsidR="008D7CE9">
        <w:rPr>
          <w:sz w:val="24"/>
          <w:szCs w:val="24"/>
          <w:vertAlign w:val="superscript"/>
        </w:rPr>
        <w:t>1</w:t>
      </w:r>
      <w:r>
        <w:rPr>
          <w:sz w:val="24"/>
          <w:szCs w:val="24"/>
        </w:rPr>
        <w:t>, Nasir T. Dabo</w:t>
      </w:r>
      <w:r w:rsidRPr="00163681">
        <w:rPr>
          <w:sz w:val="24"/>
          <w:szCs w:val="24"/>
          <w:vertAlign w:val="superscript"/>
        </w:rPr>
        <w:t>2</w:t>
      </w:r>
      <w:r>
        <w:rPr>
          <w:sz w:val="24"/>
          <w:szCs w:val="24"/>
        </w:rPr>
        <w:t xml:space="preserve">, </w:t>
      </w:r>
      <w:proofErr w:type="spellStart"/>
      <w:r w:rsidR="00E5569E">
        <w:rPr>
          <w:sz w:val="24"/>
          <w:szCs w:val="24"/>
        </w:rPr>
        <w:t>Rufa’i</w:t>
      </w:r>
      <w:proofErr w:type="spellEnd"/>
      <w:r w:rsidR="00E5569E">
        <w:rPr>
          <w:sz w:val="24"/>
          <w:szCs w:val="24"/>
        </w:rPr>
        <w:t xml:space="preserve"> Aliyu</w:t>
      </w:r>
      <w:r w:rsidR="00E5569E">
        <w:rPr>
          <w:sz w:val="24"/>
          <w:szCs w:val="24"/>
          <w:vertAlign w:val="superscript"/>
        </w:rPr>
        <w:t>2</w:t>
      </w:r>
      <w:r w:rsidR="00E5569E">
        <w:rPr>
          <w:sz w:val="24"/>
          <w:szCs w:val="24"/>
        </w:rPr>
        <w:t xml:space="preserve">, </w:t>
      </w:r>
      <w:proofErr w:type="spellStart"/>
      <w:r w:rsidR="00E5569E">
        <w:rPr>
          <w:sz w:val="24"/>
          <w:szCs w:val="24"/>
        </w:rPr>
        <w:t>Habibu</w:t>
      </w:r>
      <w:proofErr w:type="spellEnd"/>
      <w:r w:rsidR="00E5569E">
        <w:rPr>
          <w:sz w:val="24"/>
          <w:szCs w:val="24"/>
        </w:rPr>
        <w:t>, A.</w:t>
      </w:r>
      <w:r w:rsidRPr="00163681">
        <w:rPr>
          <w:sz w:val="24"/>
          <w:szCs w:val="24"/>
          <w:vertAlign w:val="superscript"/>
        </w:rPr>
        <w:t>3</w:t>
      </w:r>
      <w:r>
        <w:rPr>
          <w:sz w:val="24"/>
          <w:szCs w:val="24"/>
        </w:rPr>
        <w:t xml:space="preserve"> </w:t>
      </w:r>
      <w:r w:rsidR="008D7CE9">
        <w:rPr>
          <w:sz w:val="24"/>
          <w:szCs w:val="24"/>
        </w:rPr>
        <w:t xml:space="preserve">and </w:t>
      </w:r>
      <w:proofErr w:type="spellStart"/>
      <w:r>
        <w:rPr>
          <w:sz w:val="24"/>
          <w:szCs w:val="24"/>
        </w:rPr>
        <w:t>Sarwan</w:t>
      </w:r>
      <w:proofErr w:type="spellEnd"/>
      <w:r>
        <w:rPr>
          <w:sz w:val="24"/>
          <w:szCs w:val="24"/>
        </w:rPr>
        <w:t xml:space="preserve"> W. </w:t>
      </w:r>
      <w:proofErr w:type="spellStart"/>
      <w:r>
        <w:rPr>
          <w:sz w:val="24"/>
          <w:szCs w:val="24"/>
        </w:rPr>
        <w:t>Bradosty</w:t>
      </w:r>
      <w:proofErr w:type="spellEnd"/>
      <w:r>
        <w:rPr>
          <w:sz w:val="24"/>
          <w:szCs w:val="24"/>
          <w:vertAlign w:val="superscript"/>
        </w:rPr>
        <w:t xml:space="preserve"> 4</w:t>
      </w:r>
    </w:p>
    <w:p w:rsidR="00844388" w:rsidRPr="00844388" w:rsidRDefault="00844388" w:rsidP="00844388">
      <w:pPr>
        <w:spacing w:before="240"/>
        <w:jc w:val="center"/>
        <w:rPr>
          <w:sz w:val="18"/>
          <w:szCs w:val="24"/>
        </w:rPr>
      </w:pPr>
      <w:r w:rsidRPr="00844388">
        <w:rPr>
          <w:sz w:val="18"/>
          <w:szCs w:val="24"/>
          <w:vertAlign w:val="superscript"/>
        </w:rPr>
        <w:t>1</w:t>
      </w:r>
      <w:r w:rsidRPr="00844388">
        <w:rPr>
          <w:sz w:val="18"/>
          <w:szCs w:val="24"/>
        </w:rPr>
        <w:t>Department of Biological Sciences, Faculty of Life Sciences, College of Natural and Pharmaceutical Sciences, Bayero University, Kano-Nigeria.</w:t>
      </w:r>
    </w:p>
    <w:p w:rsidR="00844388" w:rsidRPr="00844388" w:rsidRDefault="00844388" w:rsidP="00844388">
      <w:pPr>
        <w:jc w:val="center"/>
        <w:rPr>
          <w:sz w:val="18"/>
          <w:szCs w:val="24"/>
        </w:rPr>
      </w:pPr>
      <w:r w:rsidRPr="00844388">
        <w:rPr>
          <w:sz w:val="18"/>
          <w:szCs w:val="24"/>
          <w:vertAlign w:val="superscript"/>
        </w:rPr>
        <w:t>2</w:t>
      </w:r>
      <w:r w:rsidRPr="00844388">
        <w:rPr>
          <w:sz w:val="18"/>
          <w:szCs w:val="24"/>
        </w:rPr>
        <w:t xml:space="preserve">Medical Microbiology Department, General Hospital </w:t>
      </w:r>
      <w:proofErr w:type="spellStart"/>
      <w:r w:rsidRPr="00844388">
        <w:rPr>
          <w:sz w:val="18"/>
          <w:szCs w:val="24"/>
        </w:rPr>
        <w:t>Dutse</w:t>
      </w:r>
      <w:proofErr w:type="spellEnd"/>
      <w:r w:rsidRPr="00844388">
        <w:rPr>
          <w:sz w:val="18"/>
          <w:szCs w:val="24"/>
        </w:rPr>
        <w:t xml:space="preserve">, </w:t>
      </w:r>
      <w:proofErr w:type="spellStart"/>
      <w:r w:rsidRPr="00844388">
        <w:rPr>
          <w:sz w:val="18"/>
          <w:szCs w:val="24"/>
        </w:rPr>
        <w:t>Jigawa</w:t>
      </w:r>
      <w:proofErr w:type="spellEnd"/>
      <w:r w:rsidRPr="00844388">
        <w:rPr>
          <w:sz w:val="18"/>
          <w:szCs w:val="24"/>
        </w:rPr>
        <w:t xml:space="preserve"> State-Nigeria.</w:t>
      </w:r>
    </w:p>
    <w:p w:rsidR="005F0B71" w:rsidRPr="00844388" w:rsidRDefault="00844388" w:rsidP="00844388">
      <w:pPr>
        <w:jc w:val="center"/>
        <w:rPr>
          <w:color w:val="000000"/>
          <w:sz w:val="12"/>
          <w:szCs w:val="18"/>
          <w:highlight w:val="white"/>
        </w:rPr>
      </w:pPr>
      <w:r w:rsidRPr="00844388">
        <w:rPr>
          <w:sz w:val="18"/>
          <w:szCs w:val="24"/>
          <w:vertAlign w:val="superscript"/>
        </w:rPr>
        <w:t>3</w:t>
      </w:r>
      <w:r w:rsidRPr="00844388">
        <w:rPr>
          <w:sz w:val="18"/>
          <w:szCs w:val="24"/>
        </w:rPr>
        <w:t xml:space="preserve">Department of Community Health, College of Health Technology, </w:t>
      </w:r>
      <w:proofErr w:type="spellStart"/>
      <w:r w:rsidRPr="00844388">
        <w:rPr>
          <w:sz w:val="18"/>
          <w:szCs w:val="24"/>
        </w:rPr>
        <w:t>Cihan</w:t>
      </w:r>
      <w:proofErr w:type="spellEnd"/>
      <w:r w:rsidRPr="00844388">
        <w:rPr>
          <w:sz w:val="18"/>
          <w:szCs w:val="24"/>
        </w:rPr>
        <w:t xml:space="preserve"> University-Erbil, Kurdistan Region, Iraq</w:t>
      </w:r>
    </w:p>
    <w:p w:rsidR="005F0B71" w:rsidRDefault="005F0B71">
      <w:pPr>
        <w:jc w:val="center"/>
        <w:rPr>
          <w:color w:val="000000"/>
          <w:sz w:val="18"/>
          <w:szCs w:val="18"/>
          <w:highlight w:val="white"/>
        </w:rPr>
      </w:pPr>
    </w:p>
    <w:p w:rsidR="005F0B71" w:rsidRPr="006E05F0" w:rsidRDefault="008D7CE9">
      <w:pPr>
        <w:pBdr>
          <w:top w:val="nil"/>
          <w:left w:val="nil"/>
          <w:bottom w:val="nil"/>
          <w:right w:val="nil"/>
          <w:between w:val="nil"/>
        </w:pBdr>
        <w:spacing w:before="20"/>
        <w:ind w:firstLine="202"/>
        <w:jc w:val="both"/>
        <w:rPr>
          <w:b/>
          <w:color w:val="000000"/>
          <w:sz w:val="18"/>
          <w:szCs w:val="18"/>
        </w:rPr>
      </w:pPr>
      <w:r w:rsidRPr="006E05F0">
        <w:rPr>
          <w:b/>
          <w:i/>
          <w:color w:val="000000"/>
          <w:sz w:val="18"/>
          <w:szCs w:val="18"/>
        </w:rPr>
        <w:t>Abstract</w:t>
      </w:r>
      <w:r w:rsidRPr="006E05F0">
        <w:rPr>
          <w:b/>
          <w:color w:val="000000"/>
          <w:sz w:val="18"/>
          <w:szCs w:val="18"/>
        </w:rPr>
        <w:t>—</w:t>
      </w:r>
      <w:r w:rsidR="006E05F0" w:rsidRPr="006E05F0">
        <w:rPr>
          <w:b/>
          <w:sz w:val="18"/>
          <w:szCs w:val="18"/>
        </w:rPr>
        <w:t xml:space="preserve"> Malaria is a mosquito-borne parasitic disease that still remains a threat to public health, especially to children, pregnant women, elderly and the immunosuppressed individuals. Of the five Plasmodium species affecting humans, </w:t>
      </w:r>
      <w:r w:rsidR="006E05F0" w:rsidRPr="006E05F0">
        <w:rPr>
          <w:b/>
          <w:i/>
          <w:sz w:val="18"/>
          <w:szCs w:val="18"/>
        </w:rPr>
        <w:t>Plasmodium falciparum</w:t>
      </w:r>
      <w:r w:rsidR="006E05F0" w:rsidRPr="006E05F0">
        <w:rPr>
          <w:b/>
          <w:sz w:val="18"/>
          <w:szCs w:val="18"/>
        </w:rPr>
        <w:t xml:space="preserve"> has been considered as the most prevalent and notorious parasite in Africa. This study was aimed at evaluating the susceptibility of </w:t>
      </w:r>
      <w:r w:rsidR="006E05F0" w:rsidRPr="006E05F0">
        <w:rPr>
          <w:b/>
          <w:i/>
          <w:sz w:val="18"/>
          <w:szCs w:val="18"/>
        </w:rPr>
        <w:t>P. falciparum</w:t>
      </w:r>
      <w:r w:rsidR="006E05F0" w:rsidRPr="006E05F0">
        <w:rPr>
          <w:b/>
          <w:sz w:val="18"/>
          <w:szCs w:val="18"/>
        </w:rPr>
        <w:t xml:space="preserve"> to three brands of Artemisinin Combination Therapies (ACTs) in subjects with uncomplicated </w:t>
      </w:r>
      <w:r w:rsidR="006E05F0" w:rsidRPr="006E05F0">
        <w:rPr>
          <w:b/>
          <w:i/>
          <w:sz w:val="18"/>
          <w:szCs w:val="18"/>
        </w:rPr>
        <w:t>falciparum</w:t>
      </w:r>
      <w:r w:rsidR="006E05F0" w:rsidRPr="006E05F0">
        <w:rPr>
          <w:b/>
          <w:sz w:val="18"/>
          <w:szCs w:val="18"/>
        </w:rPr>
        <w:t xml:space="preserve"> malaria. Microscopic technique was employed to determine the treatment outcome, using 28 days World Health Organization (WHO) protocol. Similarly, to differentiate new malaria infection from recrudescence, subjects with positive </w:t>
      </w:r>
      <w:proofErr w:type="spellStart"/>
      <w:r w:rsidR="006E05F0" w:rsidRPr="006E05F0">
        <w:rPr>
          <w:b/>
          <w:sz w:val="18"/>
          <w:szCs w:val="18"/>
        </w:rPr>
        <w:t>parastaemia</w:t>
      </w:r>
      <w:proofErr w:type="spellEnd"/>
      <w:r w:rsidR="006E05F0" w:rsidRPr="006E05F0">
        <w:rPr>
          <w:b/>
          <w:sz w:val="18"/>
          <w:szCs w:val="18"/>
        </w:rPr>
        <w:t xml:space="preserve"> from day 7 onward were genotyped by nested Polymerase Chain Reaction (</w:t>
      </w:r>
      <w:proofErr w:type="spellStart"/>
      <w:r w:rsidR="006E05F0" w:rsidRPr="006E05F0">
        <w:rPr>
          <w:b/>
          <w:sz w:val="18"/>
          <w:szCs w:val="18"/>
        </w:rPr>
        <w:t>nPCR</w:t>
      </w:r>
      <w:proofErr w:type="spellEnd"/>
      <w:r w:rsidR="006E05F0" w:rsidRPr="006E05F0">
        <w:rPr>
          <w:b/>
          <w:sz w:val="18"/>
          <w:szCs w:val="18"/>
        </w:rPr>
        <w:t xml:space="preserve">) using </w:t>
      </w:r>
      <w:proofErr w:type="spellStart"/>
      <w:r w:rsidR="006E05F0" w:rsidRPr="006E05F0">
        <w:rPr>
          <w:b/>
          <w:bCs/>
          <w:sz w:val="18"/>
          <w:szCs w:val="18"/>
        </w:rPr>
        <w:t>merozoite</w:t>
      </w:r>
      <w:proofErr w:type="spellEnd"/>
      <w:r w:rsidR="006E05F0" w:rsidRPr="006E05F0">
        <w:rPr>
          <w:b/>
          <w:bCs/>
          <w:sz w:val="18"/>
          <w:szCs w:val="18"/>
        </w:rPr>
        <w:t xml:space="preserve"> surface protein 2 (MSP2) </w:t>
      </w:r>
      <w:r w:rsidR="006E05F0" w:rsidRPr="006E05F0">
        <w:rPr>
          <w:b/>
          <w:sz w:val="18"/>
          <w:szCs w:val="18"/>
        </w:rPr>
        <w:t xml:space="preserve">genetic markers. From the results obtained, cure rates of the 3 brands of ACTs tested were not significantly different (p&gt;0.05). The 28 days PCR-adjusted cure rate revealed patients treated with </w:t>
      </w:r>
      <w:proofErr w:type="spellStart"/>
      <w:r w:rsidR="006E05F0" w:rsidRPr="006E05F0">
        <w:rPr>
          <w:b/>
          <w:sz w:val="18"/>
          <w:szCs w:val="18"/>
        </w:rPr>
        <w:t>Dihydroartemisinin-piperaquine</w:t>
      </w:r>
      <w:proofErr w:type="spellEnd"/>
      <w:r w:rsidR="006E05F0" w:rsidRPr="006E05F0">
        <w:rPr>
          <w:b/>
          <w:sz w:val="18"/>
          <w:szCs w:val="18"/>
        </w:rPr>
        <w:t xml:space="preserve"> (D-P) (97.2%) had significantly ((p&lt;0.05)) lower risk of recrudescence compared to patients treated with Artemether-</w:t>
      </w:r>
      <w:proofErr w:type="spellStart"/>
      <w:r w:rsidR="006E05F0" w:rsidRPr="006E05F0">
        <w:rPr>
          <w:b/>
          <w:sz w:val="18"/>
          <w:szCs w:val="18"/>
        </w:rPr>
        <w:t>lumefantrine</w:t>
      </w:r>
      <w:proofErr w:type="spellEnd"/>
      <w:r w:rsidR="006E05F0" w:rsidRPr="006E05F0">
        <w:rPr>
          <w:b/>
          <w:sz w:val="18"/>
          <w:szCs w:val="18"/>
        </w:rPr>
        <w:t xml:space="preserve"> (A-L) (95.1%) and Artesunate-</w:t>
      </w:r>
      <w:proofErr w:type="spellStart"/>
      <w:r w:rsidR="006E05F0" w:rsidRPr="006E05F0">
        <w:rPr>
          <w:b/>
          <w:sz w:val="18"/>
          <w:szCs w:val="18"/>
        </w:rPr>
        <w:t>amodiaquine</w:t>
      </w:r>
      <w:proofErr w:type="spellEnd"/>
      <w:r w:rsidR="006E05F0" w:rsidRPr="006E05F0">
        <w:rPr>
          <w:b/>
          <w:sz w:val="18"/>
          <w:szCs w:val="18"/>
        </w:rPr>
        <w:t xml:space="preserve"> (A-A) (91.7%). Conclusively, </w:t>
      </w:r>
      <w:r w:rsidR="006E05F0" w:rsidRPr="006E05F0">
        <w:rPr>
          <w:b/>
          <w:i/>
          <w:sz w:val="18"/>
          <w:szCs w:val="18"/>
        </w:rPr>
        <w:t>P. falciparum</w:t>
      </w:r>
      <w:r w:rsidR="006E05F0" w:rsidRPr="006E05F0">
        <w:rPr>
          <w:b/>
          <w:sz w:val="18"/>
          <w:szCs w:val="18"/>
        </w:rPr>
        <w:t xml:space="preserve"> is susceptible to all the three ACTs. However, D-P is more efficacious than A-L and A-A, thus, reaffirming its supremacy in the treatment of uncomplicated falciparum malaria.</w:t>
      </w:r>
    </w:p>
    <w:p w:rsidR="005F0B71" w:rsidRPr="006E05F0" w:rsidRDefault="008D7CE9">
      <w:pPr>
        <w:pBdr>
          <w:top w:val="nil"/>
          <w:left w:val="nil"/>
          <w:bottom w:val="nil"/>
          <w:right w:val="nil"/>
          <w:between w:val="nil"/>
        </w:pBdr>
        <w:spacing w:before="240"/>
        <w:ind w:firstLine="202"/>
        <w:jc w:val="both"/>
        <w:rPr>
          <w:b/>
          <w:color w:val="000000"/>
          <w:sz w:val="18"/>
          <w:szCs w:val="18"/>
        </w:rPr>
      </w:pPr>
      <w:bookmarkStart w:id="0" w:name="gjdgxs" w:colFirst="0" w:colLast="0"/>
      <w:bookmarkEnd w:id="0"/>
      <w:r w:rsidRPr="006E05F0">
        <w:rPr>
          <w:b/>
          <w:i/>
          <w:color w:val="000000"/>
          <w:sz w:val="18"/>
          <w:szCs w:val="18"/>
        </w:rPr>
        <w:t>Index Terms</w:t>
      </w:r>
      <w:r w:rsidRPr="006E05F0">
        <w:rPr>
          <w:b/>
          <w:color w:val="000000"/>
          <w:sz w:val="18"/>
          <w:szCs w:val="18"/>
        </w:rPr>
        <w:t>—</w:t>
      </w:r>
      <w:r w:rsidR="006E05F0" w:rsidRPr="006E05F0">
        <w:rPr>
          <w:b/>
          <w:sz w:val="18"/>
          <w:szCs w:val="18"/>
        </w:rPr>
        <w:t xml:space="preserve"> Artemisinin, Malaria, </w:t>
      </w:r>
      <w:r w:rsidR="006E05F0" w:rsidRPr="006E05F0">
        <w:rPr>
          <w:b/>
          <w:i/>
          <w:sz w:val="18"/>
          <w:szCs w:val="18"/>
        </w:rPr>
        <w:t>Plasmodium</w:t>
      </w:r>
      <w:r w:rsidR="006E05F0" w:rsidRPr="006E05F0">
        <w:rPr>
          <w:b/>
          <w:sz w:val="18"/>
          <w:szCs w:val="18"/>
        </w:rPr>
        <w:t>, Treatment, Recrudescence</w:t>
      </w:r>
      <w:r w:rsidRPr="006E05F0">
        <w:rPr>
          <w:b/>
          <w:color w:val="000000"/>
          <w:sz w:val="18"/>
          <w:szCs w:val="18"/>
        </w:rPr>
        <w:t xml:space="preserve"> </w:t>
      </w:r>
    </w:p>
    <w:p w:rsidR="005F0B71" w:rsidRDefault="008D7CE9">
      <w:pPr>
        <w:pStyle w:val="Heading1"/>
        <w:numPr>
          <w:ilvl w:val="0"/>
          <w:numId w:val="5"/>
        </w:numPr>
        <w:spacing w:before="480"/>
      </w:pPr>
      <w:r>
        <w:t>I</w:t>
      </w:r>
      <w:r>
        <w:rPr>
          <w:sz w:val="16"/>
          <w:szCs w:val="16"/>
        </w:rPr>
        <w:t>NTRODUCTION</w:t>
      </w:r>
    </w:p>
    <w:p w:rsidR="005F0B71" w:rsidRPr="0050366B" w:rsidRDefault="0050366B" w:rsidP="00BE57F3">
      <w:pPr>
        <w:widowControl w:val="0"/>
        <w:pBdr>
          <w:top w:val="nil"/>
          <w:left w:val="nil"/>
          <w:bottom w:val="nil"/>
          <w:right w:val="nil"/>
          <w:between w:val="nil"/>
        </w:pBdr>
        <w:spacing w:line="252" w:lineRule="auto"/>
        <w:ind w:firstLine="202"/>
        <w:jc w:val="both"/>
        <w:rPr>
          <w:color w:val="000000"/>
          <w:szCs w:val="22"/>
        </w:rPr>
      </w:pPr>
      <w:r w:rsidRPr="0050366B">
        <w:rPr>
          <w:color w:val="000000"/>
          <w:szCs w:val="22"/>
          <w:shd w:val="clear" w:color="auto" w:fill="FFFFFF"/>
        </w:rPr>
        <w:t>Malaria remains a significant health problem with a substant</w:t>
      </w:r>
      <w:r w:rsidR="000222A1">
        <w:rPr>
          <w:color w:val="000000"/>
          <w:szCs w:val="22"/>
          <w:shd w:val="clear" w:color="auto" w:fill="FFFFFF"/>
        </w:rPr>
        <w:t xml:space="preserve">ial disease burden </w:t>
      </w:r>
      <w:r w:rsidR="000222A1" w:rsidRPr="000222A1">
        <w:rPr>
          <w:color w:val="000000"/>
          <w:shd w:val="clear" w:color="auto" w:fill="FFFFFF"/>
        </w:rPr>
        <w:t>w</w:t>
      </w:r>
      <w:r w:rsidR="00CF1CAB">
        <w:rPr>
          <w:color w:val="000000"/>
          <w:shd w:val="clear" w:color="auto" w:fill="FFFFFF"/>
        </w:rPr>
        <w:t>orldwide (Lacey and Walter, 2021</w:t>
      </w:r>
      <w:r w:rsidR="000222A1" w:rsidRPr="000222A1">
        <w:rPr>
          <w:color w:val="000000"/>
          <w:shd w:val="clear" w:color="auto" w:fill="FFFFFF"/>
        </w:rPr>
        <w:t>)</w:t>
      </w:r>
      <w:r w:rsidRPr="000222A1">
        <w:t>.</w:t>
      </w:r>
      <w:r w:rsidRPr="0050366B">
        <w:rPr>
          <w:szCs w:val="22"/>
        </w:rPr>
        <w:t xml:space="preserve"> The widespread report of resistance to antimalarial drugs, lead</w:t>
      </w:r>
      <w:r w:rsidR="008F096C">
        <w:rPr>
          <w:szCs w:val="22"/>
        </w:rPr>
        <w:t>s</w:t>
      </w:r>
      <w:r w:rsidRPr="0050366B">
        <w:rPr>
          <w:szCs w:val="22"/>
        </w:rPr>
        <w:t xml:space="preserve"> to the recommendations of using artemisinin-</w:t>
      </w:r>
      <w:r w:rsidRPr="0050366B">
        <w:rPr>
          <w:szCs w:val="22"/>
        </w:rPr>
        <w:lastRenderedPageBreak/>
        <w:t>based combination therapies (ACTs) in the treatment of malaria</w:t>
      </w:r>
      <w:r w:rsidR="000222A1">
        <w:rPr>
          <w:szCs w:val="22"/>
        </w:rPr>
        <w:t xml:space="preserve"> (</w:t>
      </w:r>
      <w:r w:rsidR="000222A1" w:rsidRPr="000222A1">
        <w:rPr>
          <w:noProof/>
        </w:rPr>
        <w:t>Plewes and Leopold, 2019</w:t>
      </w:r>
      <w:r w:rsidR="00830E96" w:rsidRPr="00830E96">
        <w:rPr>
          <w:noProof/>
        </w:rPr>
        <w:t xml:space="preserve">; Ashley </w:t>
      </w:r>
      <w:r w:rsidR="00830E96" w:rsidRPr="00830E96">
        <w:rPr>
          <w:i/>
          <w:noProof/>
        </w:rPr>
        <w:t>et al.</w:t>
      </w:r>
      <w:r w:rsidR="00830E96" w:rsidRPr="00830E96">
        <w:rPr>
          <w:noProof/>
        </w:rPr>
        <w:t>, 2015</w:t>
      </w:r>
      <w:r w:rsidR="000222A1" w:rsidRPr="000222A1">
        <w:t>)</w:t>
      </w:r>
      <w:r w:rsidRPr="0050366B">
        <w:rPr>
          <w:szCs w:val="22"/>
        </w:rPr>
        <w:t>. Treatment with ACTs was introduced in the mid-1990s in Southeast Asia as a consequence of parasite resistance to all antimalarial drugs</w:t>
      </w:r>
      <w:r w:rsidR="00830E96">
        <w:rPr>
          <w:szCs w:val="22"/>
        </w:rPr>
        <w:t xml:space="preserve"> (</w:t>
      </w:r>
      <w:r w:rsidR="00830E96" w:rsidRPr="00830E96">
        <w:rPr>
          <w:noProof/>
        </w:rPr>
        <w:t xml:space="preserve">Ashley </w:t>
      </w:r>
      <w:r w:rsidR="00830E96" w:rsidRPr="00830E96">
        <w:rPr>
          <w:i/>
          <w:noProof/>
        </w:rPr>
        <w:t>et al.</w:t>
      </w:r>
      <w:r w:rsidR="00830E96" w:rsidRPr="00830E96">
        <w:rPr>
          <w:noProof/>
        </w:rPr>
        <w:t>, 2015</w:t>
      </w:r>
      <w:r w:rsidR="00830E96">
        <w:rPr>
          <w:szCs w:val="22"/>
        </w:rPr>
        <w:t>)</w:t>
      </w:r>
      <w:r w:rsidRPr="0050366B">
        <w:rPr>
          <w:szCs w:val="22"/>
        </w:rPr>
        <w:t xml:space="preserve">. In many malaria endemic regions, ACTs are the first-line treatments of uncomplicated </w:t>
      </w:r>
      <w:r w:rsidRPr="0050366B">
        <w:rPr>
          <w:i/>
          <w:szCs w:val="22"/>
        </w:rPr>
        <w:t>falciparum</w:t>
      </w:r>
      <w:r w:rsidRPr="0050366B">
        <w:rPr>
          <w:szCs w:val="22"/>
        </w:rPr>
        <w:t xml:space="preserve"> mal</w:t>
      </w:r>
      <w:r w:rsidR="00E16FB7">
        <w:rPr>
          <w:szCs w:val="22"/>
        </w:rPr>
        <w:t>aria. However, in spite of the s</w:t>
      </w:r>
      <w:r w:rsidRPr="0050366B">
        <w:rPr>
          <w:szCs w:val="22"/>
        </w:rPr>
        <w:t>ignificant burden of malaria, reports of the efficacy of using ACTs in Kano</w:t>
      </w:r>
      <w:r w:rsidR="00B3264F">
        <w:rPr>
          <w:szCs w:val="22"/>
        </w:rPr>
        <w:t xml:space="preserve"> State-Nigeria are scanty (Aminu and Mukhtar, 2017; </w:t>
      </w:r>
      <w:proofErr w:type="spellStart"/>
      <w:r w:rsidR="00B3264F">
        <w:rPr>
          <w:szCs w:val="22"/>
        </w:rPr>
        <w:t>Sadiq</w:t>
      </w:r>
      <w:proofErr w:type="spellEnd"/>
      <w:r w:rsidR="00B3264F">
        <w:rPr>
          <w:szCs w:val="22"/>
        </w:rPr>
        <w:t xml:space="preserve"> </w:t>
      </w:r>
      <w:r w:rsidR="00B3264F">
        <w:rPr>
          <w:i/>
          <w:szCs w:val="22"/>
        </w:rPr>
        <w:t>et al.</w:t>
      </w:r>
      <w:r w:rsidR="00B3264F">
        <w:rPr>
          <w:szCs w:val="22"/>
        </w:rPr>
        <w:t>, 2015)</w:t>
      </w:r>
      <w:r w:rsidRPr="0050366B">
        <w:rPr>
          <w:szCs w:val="22"/>
        </w:rPr>
        <w:t>.</w:t>
      </w:r>
    </w:p>
    <w:p w:rsidR="005F0B71" w:rsidRPr="001664A1" w:rsidRDefault="001664A1">
      <w:pPr>
        <w:widowControl w:val="0"/>
        <w:pBdr>
          <w:top w:val="nil"/>
          <w:left w:val="nil"/>
          <w:bottom w:val="nil"/>
          <w:right w:val="nil"/>
          <w:between w:val="nil"/>
        </w:pBdr>
        <w:spacing w:line="252" w:lineRule="auto"/>
        <w:ind w:firstLine="202"/>
        <w:jc w:val="both"/>
        <w:rPr>
          <w:color w:val="000000"/>
          <w:sz w:val="16"/>
        </w:rPr>
      </w:pPr>
      <w:r w:rsidRPr="001664A1">
        <w:rPr>
          <w:szCs w:val="24"/>
        </w:rPr>
        <w:t>In 2005, the World Health Organization (WHO) recommends the use of ACTs as first-line treatments in countr</w:t>
      </w:r>
      <w:r w:rsidR="0073590C">
        <w:rPr>
          <w:szCs w:val="24"/>
        </w:rPr>
        <w:t>ies where malaria is endemic (WHO, 2014)</w:t>
      </w:r>
      <w:r w:rsidRPr="001664A1">
        <w:rPr>
          <w:szCs w:val="24"/>
        </w:rPr>
        <w:t xml:space="preserve">. Previous reports from Burkina Faso, Tanzania, Kampala (Uganda), </w:t>
      </w:r>
      <w:proofErr w:type="spellStart"/>
      <w:r w:rsidRPr="001664A1">
        <w:rPr>
          <w:szCs w:val="24"/>
        </w:rPr>
        <w:t>Tororo</w:t>
      </w:r>
      <w:proofErr w:type="spellEnd"/>
      <w:r w:rsidRPr="001664A1">
        <w:rPr>
          <w:szCs w:val="24"/>
        </w:rPr>
        <w:t xml:space="preserve"> (Uganda) and Western Nigeria confirmed resistance with some ACTs </w:t>
      </w:r>
      <w:r w:rsidR="0073590C" w:rsidRPr="0073590C">
        <w:t>(</w:t>
      </w:r>
      <w:proofErr w:type="spellStart"/>
      <w:r w:rsidR="0073590C" w:rsidRPr="0073590C">
        <w:t>Zango</w:t>
      </w:r>
      <w:proofErr w:type="spellEnd"/>
      <w:r w:rsidR="0073590C" w:rsidRPr="0073590C">
        <w:t xml:space="preserve"> </w:t>
      </w:r>
      <w:r w:rsidR="0073590C" w:rsidRPr="0073590C">
        <w:rPr>
          <w:i/>
        </w:rPr>
        <w:t>et al.</w:t>
      </w:r>
      <w:r w:rsidR="0073590C" w:rsidRPr="0073590C">
        <w:t xml:space="preserve">, 2007; </w:t>
      </w:r>
      <w:proofErr w:type="spellStart"/>
      <w:r w:rsidR="0073590C" w:rsidRPr="0073590C">
        <w:t>Shayo</w:t>
      </w:r>
      <w:proofErr w:type="spellEnd"/>
      <w:r w:rsidR="0073590C" w:rsidRPr="0073590C">
        <w:t xml:space="preserve"> </w:t>
      </w:r>
      <w:r w:rsidR="0073590C" w:rsidRPr="0073590C">
        <w:rPr>
          <w:i/>
        </w:rPr>
        <w:t>et al</w:t>
      </w:r>
      <w:r w:rsidR="0073590C" w:rsidRPr="0073590C">
        <w:t xml:space="preserve">., 2015; </w:t>
      </w:r>
      <w:r w:rsidR="0073590C" w:rsidRPr="0073590C">
        <w:rPr>
          <w:noProof/>
        </w:rPr>
        <w:t xml:space="preserve">Dorsey </w:t>
      </w:r>
      <w:r w:rsidR="0073590C" w:rsidRPr="0073590C">
        <w:rPr>
          <w:i/>
          <w:noProof/>
        </w:rPr>
        <w:t>et al</w:t>
      </w:r>
      <w:r w:rsidR="0073590C" w:rsidRPr="0073590C">
        <w:rPr>
          <w:noProof/>
        </w:rPr>
        <w:t xml:space="preserve">., 2007; Burkirwa </w:t>
      </w:r>
      <w:r w:rsidR="0073590C" w:rsidRPr="0073590C">
        <w:rPr>
          <w:i/>
          <w:noProof/>
        </w:rPr>
        <w:t>et al</w:t>
      </w:r>
      <w:r w:rsidR="0073590C" w:rsidRPr="0073590C">
        <w:rPr>
          <w:noProof/>
        </w:rPr>
        <w:t xml:space="preserve">., 2006; Happi </w:t>
      </w:r>
      <w:r w:rsidR="0073590C" w:rsidRPr="0073590C">
        <w:rPr>
          <w:i/>
          <w:noProof/>
        </w:rPr>
        <w:t>et al</w:t>
      </w:r>
      <w:r w:rsidR="0073590C" w:rsidRPr="0073590C">
        <w:rPr>
          <w:noProof/>
        </w:rPr>
        <w:t xml:space="preserve">., 2008) </w:t>
      </w:r>
      <w:r w:rsidRPr="001664A1">
        <w:rPr>
          <w:szCs w:val="24"/>
        </w:rPr>
        <w:t>suggesting that, the efficacy of ACTs might have been compromised beyond Rwanda where artemisinin resistance has been confirmed</w:t>
      </w:r>
      <w:r w:rsidR="001F7150">
        <w:rPr>
          <w:szCs w:val="24"/>
        </w:rPr>
        <w:t xml:space="preserve"> </w:t>
      </w:r>
      <w:r w:rsidR="001F7150" w:rsidRPr="001F7150">
        <w:t>(</w:t>
      </w:r>
      <w:r w:rsidR="001F7150" w:rsidRPr="001F7150">
        <w:rPr>
          <w:noProof/>
        </w:rPr>
        <w:t xml:space="preserve">Aline </w:t>
      </w:r>
      <w:r w:rsidR="001F7150" w:rsidRPr="001F7150">
        <w:rPr>
          <w:i/>
          <w:noProof/>
        </w:rPr>
        <w:t>et al</w:t>
      </w:r>
      <w:r w:rsidR="001F7150" w:rsidRPr="001F7150">
        <w:rPr>
          <w:noProof/>
        </w:rPr>
        <w:t>., 2020</w:t>
      </w:r>
      <w:r w:rsidR="001F7150">
        <w:rPr>
          <w:szCs w:val="24"/>
        </w:rPr>
        <w:t>)</w:t>
      </w:r>
      <w:r w:rsidRPr="001664A1">
        <w:rPr>
          <w:szCs w:val="24"/>
        </w:rPr>
        <w:t xml:space="preserve">. Hence, to improve the health system for sustaining successes towards malaria elimination, there is need to assess the situation in this part of the globe with </w:t>
      </w:r>
      <w:proofErr w:type="spellStart"/>
      <w:r w:rsidRPr="001664A1">
        <w:rPr>
          <w:szCs w:val="24"/>
        </w:rPr>
        <w:t>endemicity</w:t>
      </w:r>
      <w:proofErr w:type="spellEnd"/>
      <w:r w:rsidRPr="001664A1">
        <w:rPr>
          <w:szCs w:val="24"/>
        </w:rPr>
        <w:t xml:space="preserve"> for malaria, particularly in Kano State-Nigeria, where malaria is still a significant health problem.</w:t>
      </w:r>
    </w:p>
    <w:p w:rsidR="005F0B71" w:rsidRDefault="0037616C">
      <w:pPr>
        <w:pStyle w:val="Heading1"/>
        <w:numPr>
          <w:ilvl w:val="0"/>
          <w:numId w:val="5"/>
        </w:numPr>
        <w:spacing w:before="480"/>
      </w:pPr>
      <w:r>
        <w:t>MATERIALS AND METHODS</w:t>
      </w:r>
    </w:p>
    <w:p w:rsidR="005F0B71" w:rsidRPr="00DE4420" w:rsidRDefault="00DE4420">
      <w:pPr>
        <w:pStyle w:val="Heading2"/>
        <w:numPr>
          <w:ilvl w:val="1"/>
          <w:numId w:val="5"/>
        </w:numPr>
        <w:rPr>
          <w:sz w:val="16"/>
        </w:rPr>
      </w:pPr>
      <w:r w:rsidRPr="00DE4420">
        <w:rPr>
          <w:szCs w:val="24"/>
        </w:rPr>
        <w:t>Study Area</w:t>
      </w:r>
    </w:p>
    <w:p w:rsidR="005F0B71" w:rsidRDefault="00DE4420">
      <w:pPr>
        <w:widowControl w:val="0"/>
        <w:pBdr>
          <w:top w:val="nil"/>
          <w:left w:val="nil"/>
          <w:bottom w:val="nil"/>
          <w:right w:val="nil"/>
          <w:between w:val="nil"/>
        </w:pBdr>
        <w:spacing w:line="252" w:lineRule="auto"/>
        <w:ind w:firstLine="202"/>
        <w:jc w:val="both"/>
        <w:rPr>
          <w:color w:val="000000"/>
        </w:rPr>
      </w:pPr>
      <w:r w:rsidRPr="00DE4420">
        <w:rPr>
          <w:szCs w:val="24"/>
        </w:rPr>
        <w:t>This study was carried out at the general out-patient department (GOPD), Murtala Muhammad Specialist Hospital, Kano State, Nigeria. The Hospital was selected because it has the higher patient’s attendance in the State, being located in a high population density area where malaria transmission is highly expected.</w:t>
      </w:r>
      <w:r w:rsidR="008D7CE9">
        <w:rPr>
          <w:color w:val="000000"/>
        </w:rPr>
        <w:t xml:space="preserve">  </w:t>
      </w:r>
    </w:p>
    <w:p w:rsidR="005F0B71" w:rsidRDefault="00DE4420">
      <w:pPr>
        <w:pStyle w:val="Heading2"/>
        <w:numPr>
          <w:ilvl w:val="1"/>
          <w:numId w:val="5"/>
        </w:numPr>
      </w:pPr>
      <w:r w:rsidRPr="00DE4420">
        <w:rPr>
          <w:szCs w:val="24"/>
        </w:rPr>
        <w:t>Study Design</w:t>
      </w:r>
    </w:p>
    <w:p w:rsidR="005F0B71" w:rsidRDefault="00DE4420">
      <w:pPr>
        <w:widowControl w:val="0"/>
        <w:pBdr>
          <w:top w:val="nil"/>
          <w:left w:val="nil"/>
          <w:bottom w:val="nil"/>
          <w:right w:val="nil"/>
          <w:between w:val="nil"/>
        </w:pBdr>
        <w:spacing w:line="252" w:lineRule="auto"/>
        <w:ind w:firstLine="202"/>
        <w:jc w:val="both"/>
        <w:rPr>
          <w:color w:val="000000"/>
        </w:rPr>
      </w:pPr>
      <w:r w:rsidRPr="00DE4420">
        <w:rPr>
          <w:szCs w:val="24"/>
        </w:rPr>
        <w:t>The target population was defined to include patients with symptoms of uncomplicated malaria, particularly high fever (37.5˚C). Those who consented to the research protocols were prescribed with ACTs and monitored for 28 days. Consequently, the treatment outcome was evaluated. The subjects were then scheduled for follow-up clinical and laboratory examinations. Thereafter, the subjects were classified as having therapeutic failure or adequate response. To estimate the efficacy of the ACTs administered, the proportion of subjects experiencing therapeutic failure was used. Nested polymerase chain reaction (PCR) technique was used to differentiate between recrudescence and reinfection of malaria.</w:t>
      </w:r>
      <w:r w:rsidR="008D7CE9">
        <w:rPr>
          <w:color w:val="000000"/>
        </w:rPr>
        <w:t xml:space="preserve"> </w:t>
      </w:r>
    </w:p>
    <w:p w:rsidR="005F0B71" w:rsidRPr="00AD60CE" w:rsidRDefault="00AD60CE">
      <w:pPr>
        <w:pStyle w:val="Heading2"/>
        <w:numPr>
          <w:ilvl w:val="1"/>
          <w:numId w:val="5"/>
        </w:numPr>
        <w:rPr>
          <w:sz w:val="16"/>
        </w:rPr>
      </w:pPr>
      <w:bookmarkStart w:id="1" w:name="_Toc17565416"/>
      <w:r w:rsidRPr="00AD60CE">
        <w:rPr>
          <w:szCs w:val="24"/>
        </w:rPr>
        <w:t>Inclusion and Exclusion Criteri</w:t>
      </w:r>
      <w:bookmarkEnd w:id="1"/>
      <w:r w:rsidRPr="00AD60CE">
        <w:rPr>
          <w:szCs w:val="24"/>
        </w:rPr>
        <w:t>a</w:t>
      </w:r>
    </w:p>
    <w:p w:rsidR="00AD60CE" w:rsidRPr="00AD60CE" w:rsidRDefault="00AD60CE" w:rsidP="00A54D10">
      <w:pPr>
        <w:jc w:val="both"/>
        <w:rPr>
          <w:bCs/>
          <w:szCs w:val="24"/>
        </w:rPr>
      </w:pPr>
      <w:r w:rsidRPr="00AD60CE">
        <w:rPr>
          <w:bCs/>
          <w:szCs w:val="24"/>
        </w:rPr>
        <w:t>Patients who fulfill the following criteria were included in the study:</w:t>
      </w:r>
    </w:p>
    <w:p w:rsidR="00AD60CE" w:rsidRPr="00AD60CE" w:rsidRDefault="00AD60CE" w:rsidP="00AD60CE">
      <w:pPr>
        <w:pStyle w:val="ListParagraph"/>
        <w:numPr>
          <w:ilvl w:val="0"/>
          <w:numId w:val="6"/>
        </w:numPr>
        <w:spacing w:after="240" w:line="240" w:lineRule="auto"/>
        <w:jc w:val="both"/>
        <w:rPr>
          <w:rFonts w:ascii="Times New Roman" w:hAnsi="Times New Roman" w:cs="Times New Roman"/>
          <w:bCs/>
          <w:sz w:val="20"/>
          <w:szCs w:val="24"/>
        </w:rPr>
      </w:pPr>
      <w:r w:rsidRPr="00AD60CE">
        <w:rPr>
          <w:rFonts w:ascii="Times New Roman" w:hAnsi="Times New Roman" w:cs="Times New Roman"/>
          <w:bCs/>
          <w:sz w:val="20"/>
          <w:szCs w:val="24"/>
        </w:rPr>
        <w:t xml:space="preserve">Children who are greater than 5 years with uncomplicated </w:t>
      </w:r>
      <w:r w:rsidRPr="0008522F">
        <w:rPr>
          <w:rFonts w:ascii="Times New Roman" w:hAnsi="Times New Roman" w:cs="Times New Roman"/>
          <w:bCs/>
          <w:i/>
          <w:sz w:val="20"/>
          <w:szCs w:val="24"/>
        </w:rPr>
        <w:t>falciparum</w:t>
      </w:r>
      <w:r w:rsidRPr="00AD60CE">
        <w:rPr>
          <w:rFonts w:ascii="Times New Roman" w:hAnsi="Times New Roman" w:cs="Times New Roman"/>
          <w:bCs/>
          <w:sz w:val="20"/>
          <w:szCs w:val="24"/>
        </w:rPr>
        <w:t xml:space="preserve"> malaria.</w:t>
      </w:r>
    </w:p>
    <w:p w:rsidR="00AD60CE" w:rsidRPr="00AD60CE" w:rsidRDefault="00AD60CE" w:rsidP="00AD60CE">
      <w:pPr>
        <w:pStyle w:val="ListParagraph"/>
        <w:numPr>
          <w:ilvl w:val="0"/>
          <w:numId w:val="6"/>
        </w:numPr>
        <w:spacing w:after="240" w:line="240" w:lineRule="auto"/>
        <w:jc w:val="both"/>
        <w:rPr>
          <w:rFonts w:ascii="Times New Roman" w:hAnsi="Times New Roman" w:cs="Times New Roman"/>
          <w:bCs/>
          <w:sz w:val="20"/>
          <w:szCs w:val="24"/>
        </w:rPr>
      </w:pPr>
      <w:r w:rsidRPr="00AD60CE">
        <w:rPr>
          <w:rFonts w:ascii="Times New Roman" w:hAnsi="Times New Roman" w:cs="Times New Roman"/>
          <w:bCs/>
          <w:sz w:val="20"/>
          <w:szCs w:val="24"/>
        </w:rPr>
        <w:lastRenderedPageBreak/>
        <w:t xml:space="preserve">Non-pregnant female with uncomplicated </w:t>
      </w:r>
      <w:r w:rsidRPr="009E6C8C">
        <w:rPr>
          <w:rFonts w:ascii="Times New Roman" w:hAnsi="Times New Roman" w:cs="Times New Roman"/>
          <w:bCs/>
          <w:i/>
          <w:sz w:val="20"/>
          <w:szCs w:val="24"/>
        </w:rPr>
        <w:t>falciparum</w:t>
      </w:r>
      <w:r w:rsidRPr="00AD60CE">
        <w:rPr>
          <w:rFonts w:ascii="Times New Roman" w:hAnsi="Times New Roman" w:cs="Times New Roman"/>
          <w:bCs/>
          <w:sz w:val="20"/>
          <w:szCs w:val="24"/>
        </w:rPr>
        <w:t xml:space="preserve"> malaria</w:t>
      </w:r>
    </w:p>
    <w:p w:rsidR="00AD60CE" w:rsidRPr="00AD60CE" w:rsidRDefault="00AD60CE" w:rsidP="00AD60CE">
      <w:pPr>
        <w:pStyle w:val="ListParagraph"/>
        <w:numPr>
          <w:ilvl w:val="0"/>
          <w:numId w:val="6"/>
        </w:numPr>
        <w:spacing w:after="240" w:line="240" w:lineRule="auto"/>
        <w:jc w:val="both"/>
        <w:rPr>
          <w:rFonts w:ascii="Times New Roman" w:hAnsi="Times New Roman" w:cs="Times New Roman"/>
          <w:bCs/>
          <w:sz w:val="20"/>
          <w:szCs w:val="24"/>
        </w:rPr>
      </w:pPr>
      <w:r w:rsidRPr="00AD60CE">
        <w:rPr>
          <w:rFonts w:ascii="Times New Roman" w:hAnsi="Times New Roman" w:cs="Times New Roman"/>
          <w:bCs/>
          <w:sz w:val="20"/>
          <w:szCs w:val="24"/>
        </w:rPr>
        <w:t xml:space="preserve">Mono – infection with </w:t>
      </w:r>
      <w:r w:rsidR="009E6C8C">
        <w:rPr>
          <w:rFonts w:ascii="Times New Roman" w:hAnsi="Times New Roman" w:cs="Times New Roman"/>
          <w:bCs/>
          <w:i/>
          <w:sz w:val="20"/>
          <w:szCs w:val="24"/>
        </w:rPr>
        <w:t xml:space="preserve">Plasmodium </w:t>
      </w:r>
      <w:r w:rsidRPr="00AD60CE">
        <w:rPr>
          <w:rFonts w:ascii="Times New Roman" w:hAnsi="Times New Roman" w:cs="Times New Roman"/>
          <w:bCs/>
          <w:i/>
          <w:sz w:val="20"/>
          <w:szCs w:val="24"/>
        </w:rPr>
        <w:t xml:space="preserve">falciparum </w:t>
      </w:r>
      <w:r w:rsidRPr="00AD60CE">
        <w:rPr>
          <w:rFonts w:ascii="Times New Roman" w:hAnsi="Times New Roman" w:cs="Times New Roman"/>
          <w:bCs/>
          <w:sz w:val="20"/>
          <w:szCs w:val="24"/>
        </w:rPr>
        <w:t>as</w:t>
      </w:r>
      <w:r w:rsidRPr="00AD60CE">
        <w:rPr>
          <w:rFonts w:ascii="Times New Roman" w:hAnsi="Times New Roman" w:cs="Times New Roman"/>
          <w:bCs/>
          <w:i/>
          <w:sz w:val="20"/>
          <w:szCs w:val="24"/>
        </w:rPr>
        <w:t xml:space="preserve"> </w:t>
      </w:r>
      <w:r w:rsidRPr="00AD60CE">
        <w:rPr>
          <w:rFonts w:ascii="Times New Roman" w:hAnsi="Times New Roman" w:cs="Times New Roman"/>
          <w:bCs/>
          <w:sz w:val="20"/>
          <w:szCs w:val="24"/>
        </w:rPr>
        <w:t>detected from microscopy.</w:t>
      </w:r>
    </w:p>
    <w:p w:rsidR="00AD60CE" w:rsidRPr="00AD60CE" w:rsidRDefault="00AD60CE" w:rsidP="00AD60CE">
      <w:pPr>
        <w:pStyle w:val="ListParagraph"/>
        <w:numPr>
          <w:ilvl w:val="0"/>
          <w:numId w:val="6"/>
        </w:numPr>
        <w:spacing w:after="240" w:line="240" w:lineRule="auto"/>
        <w:jc w:val="both"/>
        <w:rPr>
          <w:rFonts w:ascii="Times New Roman" w:hAnsi="Times New Roman" w:cs="Times New Roman"/>
          <w:bCs/>
          <w:sz w:val="20"/>
          <w:szCs w:val="24"/>
        </w:rPr>
      </w:pPr>
      <w:r w:rsidRPr="00AD60CE">
        <w:rPr>
          <w:rFonts w:ascii="Times New Roman" w:hAnsi="Times New Roman" w:cs="Times New Roman"/>
          <w:bCs/>
          <w:sz w:val="20"/>
          <w:szCs w:val="24"/>
        </w:rPr>
        <w:t>Ability to swallow oral medication</w:t>
      </w:r>
    </w:p>
    <w:p w:rsidR="00AD60CE" w:rsidRPr="00AD60CE" w:rsidRDefault="00AD60CE" w:rsidP="00AD60CE">
      <w:pPr>
        <w:pStyle w:val="ListParagraph"/>
        <w:numPr>
          <w:ilvl w:val="0"/>
          <w:numId w:val="6"/>
        </w:numPr>
        <w:spacing w:after="240" w:line="240" w:lineRule="auto"/>
        <w:jc w:val="both"/>
        <w:rPr>
          <w:rFonts w:ascii="Times New Roman" w:hAnsi="Times New Roman" w:cs="Times New Roman"/>
          <w:bCs/>
          <w:sz w:val="20"/>
          <w:szCs w:val="24"/>
        </w:rPr>
      </w:pPr>
      <w:r w:rsidRPr="00AD60CE">
        <w:rPr>
          <w:rFonts w:ascii="Times New Roman" w:hAnsi="Times New Roman" w:cs="Times New Roman"/>
          <w:bCs/>
          <w:sz w:val="20"/>
          <w:szCs w:val="24"/>
        </w:rPr>
        <w:t>Willingness to comply with the study protocol.</w:t>
      </w:r>
    </w:p>
    <w:p w:rsidR="00AD60CE" w:rsidRPr="00AD60CE" w:rsidRDefault="00A4785B" w:rsidP="0006517A">
      <w:pPr>
        <w:pStyle w:val="ListParagraph"/>
        <w:numPr>
          <w:ilvl w:val="0"/>
          <w:numId w:val="6"/>
        </w:num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t>Informed consent/</w:t>
      </w:r>
      <w:r w:rsidR="00AD60CE" w:rsidRPr="00AD60CE">
        <w:rPr>
          <w:rFonts w:ascii="Times New Roman" w:hAnsi="Times New Roman" w:cs="Times New Roman"/>
          <w:bCs/>
          <w:sz w:val="20"/>
          <w:szCs w:val="24"/>
        </w:rPr>
        <w:t>assent given by the patients/ parent or guardian.</w:t>
      </w:r>
    </w:p>
    <w:p w:rsidR="00AD60CE" w:rsidRPr="00AD60CE" w:rsidRDefault="00AD60CE" w:rsidP="0006517A">
      <w:pPr>
        <w:ind w:left="60"/>
        <w:jc w:val="both"/>
        <w:rPr>
          <w:bCs/>
          <w:szCs w:val="24"/>
        </w:rPr>
      </w:pPr>
      <w:r w:rsidRPr="00AD60CE">
        <w:rPr>
          <w:bCs/>
          <w:szCs w:val="24"/>
        </w:rPr>
        <w:t>The following were excluded from the study:</w:t>
      </w:r>
    </w:p>
    <w:p w:rsidR="0006517A" w:rsidRDefault="00AD60CE" w:rsidP="0006517A">
      <w:pPr>
        <w:pStyle w:val="ListParagraph"/>
        <w:numPr>
          <w:ilvl w:val="0"/>
          <w:numId w:val="7"/>
        </w:numPr>
        <w:spacing w:after="0" w:line="240" w:lineRule="auto"/>
        <w:jc w:val="both"/>
        <w:rPr>
          <w:rFonts w:ascii="Times New Roman" w:hAnsi="Times New Roman" w:cs="Times New Roman"/>
          <w:bCs/>
          <w:sz w:val="20"/>
          <w:szCs w:val="24"/>
        </w:rPr>
      </w:pPr>
      <w:r w:rsidRPr="00AD60CE">
        <w:rPr>
          <w:rFonts w:ascii="Times New Roman" w:hAnsi="Times New Roman" w:cs="Times New Roman"/>
          <w:bCs/>
          <w:sz w:val="20"/>
          <w:szCs w:val="24"/>
        </w:rPr>
        <w:t>Pregnant or breastfeeding females</w:t>
      </w:r>
    </w:p>
    <w:p w:rsidR="005F0B71" w:rsidRPr="0006517A" w:rsidRDefault="0006517A" w:rsidP="0006517A">
      <w:pPr>
        <w:pStyle w:val="ListParagraph"/>
        <w:numPr>
          <w:ilvl w:val="0"/>
          <w:numId w:val="7"/>
        </w:numPr>
        <w:spacing w:after="0" w:line="240" w:lineRule="auto"/>
        <w:jc w:val="both"/>
        <w:rPr>
          <w:rFonts w:ascii="Times New Roman" w:hAnsi="Times New Roman" w:cs="Times New Roman"/>
          <w:bCs/>
          <w:sz w:val="20"/>
          <w:szCs w:val="24"/>
        </w:rPr>
      </w:pPr>
      <w:r w:rsidRPr="0006517A">
        <w:rPr>
          <w:bCs/>
          <w:szCs w:val="24"/>
        </w:rPr>
        <w:t xml:space="preserve">Patients with </w:t>
      </w:r>
      <w:r w:rsidR="00AD60CE" w:rsidRPr="0006517A">
        <w:rPr>
          <w:rFonts w:ascii="Times New Roman" w:hAnsi="Times New Roman" w:cs="Times New Roman"/>
          <w:bCs/>
          <w:sz w:val="20"/>
          <w:szCs w:val="24"/>
        </w:rPr>
        <w:t>history of hypersensitivity reactions or contraindications to any of the drug.</w:t>
      </w:r>
    </w:p>
    <w:p w:rsidR="0006517A" w:rsidRPr="002D590A" w:rsidRDefault="002D590A" w:rsidP="0006517A">
      <w:pPr>
        <w:pStyle w:val="Heading2"/>
        <w:numPr>
          <w:ilvl w:val="1"/>
          <w:numId w:val="5"/>
        </w:numPr>
        <w:rPr>
          <w:sz w:val="16"/>
        </w:rPr>
      </w:pPr>
      <w:bookmarkStart w:id="2" w:name="_Toc17565417"/>
      <w:r w:rsidRPr="002D590A">
        <w:rPr>
          <w:szCs w:val="24"/>
        </w:rPr>
        <w:t>Ethical Consideration</w:t>
      </w:r>
      <w:bookmarkEnd w:id="2"/>
      <w:r w:rsidRPr="002D590A">
        <w:rPr>
          <w:szCs w:val="24"/>
        </w:rPr>
        <w:t>s</w:t>
      </w:r>
    </w:p>
    <w:p w:rsidR="0006517A" w:rsidRDefault="002D590A" w:rsidP="0006517A">
      <w:pPr>
        <w:widowControl w:val="0"/>
        <w:pBdr>
          <w:top w:val="nil"/>
          <w:left w:val="nil"/>
          <w:bottom w:val="nil"/>
          <w:right w:val="nil"/>
          <w:between w:val="nil"/>
        </w:pBdr>
        <w:spacing w:line="252" w:lineRule="auto"/>
        <w:ind w:firstLine="202"/>
        <w:jc w:val="both"/>
        <w:rPr>
          <w:bCs/>
          <w:szCs w:val="24"/>
        </w:rPr>
      </w:pPr>
      <w:r w:rsidRPr="002D590A">
        <w:rPr>
          <w:bCs/>
          <w:szCs w:val="24"/>
        </w:rPr>
        <w:t>Ethical approval (Ref: MOH/Off/797/T.I/720) was obtained from Kano State Hospitals Management Board. Informed consent/assent was obtained from the subjects or their guardians prior to samples collection</w:t>
      </w:r>
      <w:r w:rsidR="006C7D5B">
        <w:rPr>
          <w:bCs/>
          <w:szCs w:val="24"/>
        </w:rPr>
        <w:t>s</w:t>
      </w:r>
      <w:r w:rsidRPr="002D590A">
        <w:rPr>
          <w:bCs/>
          <w:szCs w:val="24"/>
        </w:rPr>
        <w:t>.</w:t>
      </w:r>
    </w:p>
    <w:p w:rsidR="005F4BFF" w:rsidRPr="005F4BFF" w:rsidRDefault="005F4BFF" w:rsidP="005F4BFF">
      <w:pPr>
        <w:pStyle w:val="Heading2"/>
        <w:numPr>
          <w:ilvl w:val="1"/>
          <w:numId w:val="5"/>
        </w:numPr>
        <w:rPr>
          <w:sz w:val="12"/>
        </w:rPr>
      </w:pPr>
      <w:bookmarkStart w:id="3" w:name="_Toc17565419"/>
      <w:r w:rsidRPr="005F4BFF">
        <w:rPr>
          <w:szCs w:val="24"/>
        </w:rPr>
        <w:t>Samples Collection</w:t>
      </w:r>
      <w:bookmarkEnd w:id="3"/>
      <w:r w:rsidR="00E135B6">
        <w:rPr>
          <w:szCs w:val="24"/>
        </w:rPr>
        <w:t>s</w:t>
      </w:r>
      <w:r w:rsidRPr="005F4BFF">
        <w:rPr>
          <w:szCs w:val="24"/>
        </w:rPr>
        <w:t xml:space="preserve"> and Handling</w:t>
      </w:r>
    </w:p>
    <w:p w:rsidR="0006517A" w:rsidRDefault="005F4BFF" w:rsidP="005F4BFF">
      <w:pPr>
        <w:widowControl w:val="0"/>
        <w:pBdr>
          <w:top w:val="nil"/>
          <w:left w:val="nil"/>
          <w:bottom w:val="nil"/>
          <w:right w:val="nil"/>
          <w:between w:val="nil"/>
        </w:pBdr>
        <w:spacing w:line="252" w:lineRule="auto"/>
        <w:ind w:firstLine="202"/>
        <w:jc w:val="both"/>
        <w:rPr>
          <w:bCs/>
          <w:szCs w:val="24"/>
        </w:rPr>
      </w:pPr>
      <w:r w:rsidRPr="005F4BFF">
        <w:rPr>
          <w:bCs/>
          <w:szCs w:val="24"/>
        </w:rPr>
        <w:t xml:space="preserve">About 3ml of venous blood sample were obtained from consented patients and placed into coated tubes containing </w:t>
      </w:r>
      <w:proofErr w:type="spellStart"/>
      <w:r w:rsidRPr="005F4BFF">
        <w:rPr>
          <w:bCs/>
          <w:szCs w:val="24"/>
        </w:rPr>
        <w:t>Ethylenediaminetetraacetic</w:t>
      </w:r>
      <w:proofErr w:type="spellEnd"/>
      <w:r w:rsidRPr="005F4BFF">
        <w:rPr>
          <w:bCs/>
          <w:szCs w:val="24"/>
        </w:rPr>
        <w:t xml:space="preserve"> acid </w:t>
      </w:r>
      <w:r w:rsidR="00B92123">
        <w:rPr>
          <w:bCs/>
          <w:szCs w:val="24"/>
        </w:rPr>
        <w:t xml:space="preserve">(EDTA) as described by WHO </w:t>
      </w:r>
      <w:r w:rsidR="00B92123" w:rsidRPr="00B92123">
        <w:rPr>
          <w:bCs/>
        </w:rPr>
        <w:t>(2016a</w:t>
      </w:r>
      <w:r w:rsidR="00B92123">
        <w:rPr>
          <w:bCs/>
          <w:szCs w:val="24"/>
        </w:rPr>
        <w:t>).</w:t>
      </w:r>
      <w:r w:rsidRPr="005F4BFF">
        <w:rPr>
          <w:bCs/>
          <w:szCs w:val="24"/>
        </w:rPr>
        <w:t xml:space="preserve"> A portion of these blood samples were spotted on</w:t>
      </w:r>
      <w:r w:rsidR="004335FC">
        <w:rPr>
          <w:bCs/>
          <w:szCs w:val="24"/>
        </w:rPr>
        <w:t xml:space="preserve">to </w:t>
      </w:r>
      <w:proofErr w:type="spellStart"/>
      <w:r w:rsidR="004335FC">
        <w:rPr>
          <w:bCs/>
          <w:szCs w:val="24"/>
        </w:rPr>
        <w:t>Whatman</w:t>
      </w:r>
      <w:proofErr w:type="spellEnd"/>
      <w:r w:rsidR="004335FC">
        <w:rPr>
          <w:bCs/>
          <w:szCs w:val="24"/>
        </w:rPr>
        <w:t xml:space="preserve"> 3mm filter </w:t>
      </w:r>
      <w:r w:rsidR="004335FC" w:rsidRPr="004335FC">
        <w:rPr>
          <w:bCs/>
        </w:rPr>
        <w:t>paper (</w:t>
      </w:r>
      <w:proofErr w:type="spellStart"/>
      <w:r w:rsidR="004335FC" w:rsidRPr="004335FC">
        <w:rPr>
          <w:noProof/>
        </w:rPr>
        <w:t>Mugittu</w:t>
      </w:r>
      <w:proofErr w:type="spellEnd"/>
      <w:r w:rsidR="004335FC" w:rsidRPr="004335FC">
        <w:rPr>
          <w:noProof/>
        </w:rPr>
        <w:t xml:space="preserve"> </w:t>
      </w:r>
      <w:r w:rsidR="004335FC" w:rsidRPr="004335FC">
        <w:rPr>
          <w:i/>
          <w:noProof/>
        </w:rPr>
        <w:t>et al</w:t>
      </w:r>
      <w:r w:rsidR="004335FC" w:rsidRPr="004335FC">
        <w:rPr>
          <w:noProof/>
        </w:rPr>
        <w:t>., 2006</w:t>
      </w:r>
      <w:r w:rsidR="004335FC" w:rsidRPr="004335FC">
        <w:rPr>
          <w:bCs/>
        </w:rPr>
        <w:t>)</w:t>
      </w:r>
      <w:r w:rsidR="004335FC">
        <w:rPr>
          <w:bCs/>
          <w:szCs w:val="24"/>
        </w:rPr>
        <w:t xml:space="preserve"> following WHO (2016b) </w:t>
      </w:r>
      <w:r w:rsidRPr="005F4BFF">
        <w:rPr>
          <w:bCs/>
          <w:szCs w:val="24"/>
        </w:rPr>
        <w:t xml:space="preserve">guidelines. The </w:t>
      </w:r>
      <w:proofErr w:type="spellStart"/>
      <w:r w:rsidRPr="005F4BFF">
        <w:rPr>
          <w:bCs/>
          <w:szCs w:val="24"/>
        </w:rPr>
        <w:t>Whatman</w:t>
      </w:r>
      <w:proofErr w:type="spellEnd"/>
      <w:r w:rsidRPr="005F4BFF">
        <w:rPr>
          <w:bCs/>
          <w:szCs w:val="24"/>
        </w:rPr>
        <w:t xml:space="preserve"> filter paper was dried and placed in plastic bags with desiccant. The samples were then stored at -20</w:t>
      </w:r>
      <w:r w:rsidRPr="005F4BFF">
        <w:rPr>
          <w:bCs/>
          <w:szCs w:val="24"/>
          <w:vertAlign w:val="superscript"/>
        </w:rPr>
        <w:t>o</w:t>
      </w:r>
      <w:r w:rsidRPr="005F4BFF">
        <w:rPr>
          <w:bCs/>
          <w:szCs w:val="24"/>
        </w:rPr>
        <w:t xml:space="preserve">C. To evaluate the treatment outcome, a finger prick blood samples were also collected on day 3, 7, 14, 21 and 28 </w:t>
      </w:r>
      <w:r w:rsidR="006E55B2">
        <w:rPr>
          <w:bCs/>
          <w:szCs w:val="24"/>
        </w:rPr>
        <w:t>(WHO, 2016a)</w:t>
      </w:r>
      <w:r w:rsidRPr="005F4BFF">
        <w:rPr>
          <w:bCs/>
          <w:szCs w:val="24"/>
        </w:rPr>
        <w:t>.</w:t>
      </w:r>
    </w:p>
    <w:p w:rsidR="00411511" w:rsidRPr="00411511" w:rsidRDefault="00411511" w:rsidP="00411511">
      <w:pPr>
        <w:pStyle w:val="Heading2"/>
        <w:numPr>
          <w:ilvl w:val="1"/>
          <w:numId w:val="5"/>
        </w:numPr>
        <w:rPr>
          <w:sz w:val="8"/>
        </w:rPr>
      </w:pPr>
      <w:bookmarkStart w:id="4" w:name="_Toc17565423"/>
      <w:r w:rsidRPr="00411511">
        <w:rPr>
          <w:szCs w:val="24"/>
        </w:rPr>
        <w:t>Estimation of Parasite Densit</w:t>
      </w:r>
      <w:bookmarkEnd w:id="4"/>
      <w:r w:rsidRPr="00411511">
        <w:rPr>
          <w:szCs w:val="24"/>
        </w:rPr>
        <w:t>y</w:t>
      </w:r>
    </w:p>
    <w:p w:rsidR="00411511" w:rsidRPr="00411511" w:rsidRDefault="00411511" w:rsidP="00F17357">
      <w:pPr>
        <w:jc w:val="both"/>
        <w:rPr>
          <w:bCs/>
          <w:sz w:val="18"/>
          <w:szCs w:val="24"/>
        </w:rPr>
      </w:pPr>
      <w:r w:rsidRPr="00411511">
        <w:rPr>
          <w:bCs/>
          <w:szCs w:val="24"/>
        </w:rPr>
        <w:t>Parasite density was evaluated prior to administration of ACTs (at day</w:t>
      </w:r>
      <w:r w:rsidR="001B6322">
        <w:rPr>
          <w:bCs/>
          <w:szCs w:val="24"/>
        </w:rPr>
        <w:t xml:space="preserve"> 0) and</w:t>
      </w:r>
      <w:r w:rsidRPr="00411511">
        <w:rPr>
          <w:bCs/>
          <w:szCs w:val="24"/>
        </w:rPr>
        <w:t xml:space="preserve"> on the day of scheduled follow – ups (day 3, 7, 14, 21 and day 28, respectively)</w:t>
      </w:r>
      <w:r w:rsidR="001B6322">
        <w:rPr>
          <w:bCs/>
          <w:szCs w:val="24"/>
        </w:rPr>
        <w:t>,</w:t>
      </w:r>
      <w:r w:rsidRPr="00411511">
        <w:rPr>
          <w:bCs/>
          <w:szCs w:val="24"/>
        </w:rPr>
        <w:t xml:space="preserve"> by counting the number of parasites seen per micro </w:t>
      </w:r>
      <w:proofErr w:type="spellStart"/>
      <w:r w:rsidRPr="00411511">
        <w:rPr>
          <w:bCs/>
          <w:szCs w:val="24"/>
        </w:rPr>
        <w:t>Litre</w:t>
      </w:r>
      <w:proofErr w:type="spellEnd"/>
      <w:r w:rsidRPr="00411511">
        <w:rPr>
          <w:bCs/>
          <w:szCs w:val="24"/>
        </w:rPr>
        <w:t xml:space="preserve"> of blood, assuming a total white blood cell</w:t>
      </w:r>
      <w:r w:rsidR="004F5345">
        <w:rPr>
          <w:bCs/>
          <w:szCs w:val="24"/>
        </w:rPr>
        <w:t>s count of 8000/µL (WHO, 2016c)</w:t>
      </w:r>
      <w:r w:rsidRPr="00411511">
        <w:rPr>
          <w:bCs/>
          <w:szCs w:val="24"/>
        </w:rPr>
        <w:t xml:space="preserve">. </w:t>
      </w:r>
    </w:p>
    <w:p w:rsidR="00411511" w:rsidRPr="00411511" w:rsidRDefault="005832A4" w:rsidP="00411511">
      <w:pPr>
        <w:widowControl w:val="0"/>
        <w:pBdr>
          <w:top w:val="nil"/>
          <w:left w:val="nil"/>
          <w:bottom w:val="nil"/>
          <w:right w:val="nil"/>
          <w:between w:val="nil"/>
        </w:pBdr>
        <w:spacing w:line="252" w:lineRule="auto"/>
        <w:jc w:val="both"/>
        <w:rPr>
          <w:color w:val="000000"/>
          <w:sz w:val="8"/>
        </w:rPr>
      </w:pPr>
      <m:oMathPara>
        <m:oMath>
          <m:d>
            <m:dPr>
              <m:ctrlPr>
                <w:rPr>
                  <w:rFonts w:ascii="Cambria Math" w:hAnsi="Cambria Math"/>
                  <w:i/>
                  <w:sz w:val="18"/>
                  <w:szCs w:val="24"/>
                </w:rPr>
              </m:ctrlPr>
            </m:dPr>
            <m:e>
              <m:r>
                <w:rPr>
                  <w:rFonts w:ascii="Cambria Math" w:hAnsi="Cambria Math"/>
                  <w:sz w:val="18"/>
                  <w:szCs w:val="24"/>
                </w:rPr>
                <m:t>1</m:t>
              </m:r>
            </m:e>
          </m:d>
          <m:r>
            <w:rPr>
              <w:rFonts w:ascii="Cambria Math" w:hAnsi="Cambria Math"/>
              <w:sz w:val="18"/>
              <w:szCs w:val="24"/>
            </w:rPr>
            <m:t xml:space="preserve"> parasite/</m:t>
          </m:r>
          <m:r>
            <m:rPr>
              <m:sty m:val="p"/>
            </m:rPr>
            <w:rPr>
              <w:rFonts w:ascii="Cambria Math" w:hAnsi="Cambria Math"/>
              <w:sz w:val="18"/>
              <w:szCs w:val="24"/>
            </w:rPr>
            <m:t xml:space="preserve">µL </m:t>
          </m:r>
          <m:r>
            <w:rPr>
              <w:rFonts w:ascii="Cambria Math" w:hAnsi="Cambria Math"/>
              <w:sz w:val="18"/>
              <w:szCs w:val="24"/>
            </w:rPr>
            <m:t>blood =</m:t>
          </m:r>
          <m:f>
            <m:fPr>
              <m:ctrlPr>
                <w:rPr>
                  <w:rFonts w:ascii="Cambria Math" w:hAnsi="Cambria Math"/>
                  <w:bCs/>
                  <w:i/>
                  <w:sz w:val="18"/>
                  <w:szCs w:val="24"/>
                </w:rPr>
              </m:ctrlPr>
            </m:fPr>
            <m:num>
              <m:r>
                <w:rPr>
                  <w:rFonts w:ascii="Cambria Math" w:hAnsi="Cambria Math"/>
                  <w:sz w:val="18"/>
                  <w:szCs w:val="24"/>
                </w:rPr>
                <m:t>parasite counted</m:t>
              </m:r>
            </m:num>
            <m:den>
              <m:r>
                <w:rPr>
                  <w:rFonts w:ascii="Cambria Math" w:hAnsi="Cambria Math"/>
                  <w:sz w:val="18"/>
                  <w:szCs w:val="24"/>
                </w:rPr>
                <m:t>white blood cells counted</m:t>
              </m:r>
            </m:den>
          </m:f>
          <m:r>
            <w:rPr>
              <w:rFonts w:ascii="Cambria Math" w:hAnsi="Cambria Math"/>
              <w:sz w:val="18"/>
              <w:szCs w:val="24"/>
            </w:rPr>
            <m:t xml:space="preserve"> X 8000</m:t>
          </m:r>
        </m:oMath>
      </m:oMathPara>
    </w:p>
    <w:p w:rsidR="00411511" w:rsidRPr="005F4BFF" w:rsidRDefault="00411511" w:rsidP="005F4BFF">
      <w:pPr>
        <w:widowControl w:val="0"/>
        <w:pBdr>
          <w:top w:val="nil"/>
          <w:left w:val="nil"/>
          <w:bottom w:val="nil"/>
          <w:right w:val="nil"/>
          <w:between w:val="nil"/>
        </w:pBdr>
        <w:spacing w:line="252" w:lineRule="auto"/>
        <w:ind w:firstLine="202"/>
        <w:jc w:val="both"/>
        <w:rPr>
          <w:color w:val="000000"/>
          <w:sz w:val="12"/>
        </w:rPr>
      </w:pPr>
    </w:p>
    <w:p w:rsidR="005F0B71" w:rsidRPr="00F17357" w:rsidRDefault="00F17357" w:rsidP="00F17357">
      <w:pPr>
        <w:pStyle w:val="Heading2"/>
        <w:numPr>
          <w:ilvl w:val="1"/>
          <w:numId w:val="5"/>
        </w:numPr>
        <w:spacing w:before="0"/>
        <w:rPr>
          <w:sz w:val="16"/>
        </w:rPr>
      </w:pPr>
      <w:bookmarkStart w:id="5" w:name="_Toc17565424"/>
      <w:r w:rsidRPr="00F17357">
        <w:rPr>
          <w:szCs w:val="24"/>
        </w:rPr>
        <w:t>Antimalarial Treatment</w:t>
      </w:r>
      <w:bookmarkEnd w:id="5"/>
      <w:r w:rsidRPr="00F17357">
        <w:rPr>
          <w:szCs w:val="24"/>
        </w:rPr>
        <w:t xml:space="preserve"> and Dosage</w:t>
      </w:r>
    </w:p>
    <w:p w:rsidR="00F17357" w:rsidRPr="00F17357" w:rsidRDefault="008D7CE9" w:rsidP="00F17357">
      <w:pPr>
        <w:jc w:val="both"/>
        <w:rPr>
          <w:bCs/>
          <w:szCs w:val="24"/>
        </w:rPr>
      </w:pPr>
      <w:r w:rsidRPr="00F17357">
        <w:rPr>
          <w:i/>
          <w:color w:val="000000"/>
          <w:sz w:val="16"/>
        </w:rPr>
        <w:t xml:space="preserve"> </w:t>
      </w:r>
      <w:r w:rsidR="00F17357" w:rsidRPr="00F17357">
        <w:rPr>
          <w:bCs/>
          <w:szCs w:val="24"/>
        </w:rPr>
        <w:t xml:space="preserve">Two of the ACTs used, namely: </w:t>
      </w:r>
      <w:proofErr w:type="spellStart"/>
      <w:r w:rsidR="00F17357" w:rsidRPr="00F17357">
        <w:rPr>
          <w:bCs/>
          <w:szCs w:val="24"/>
        </w:rPr>
        <w:t>Arthemeter</w:t>
      </w:r>
      <w:proofErr w:type="spellEnd"/>
      <w:r w:rsidR="00F17357" w:rsidRPr="00F17357">
        <w:rPr>
          <w:bCs/>
          <w:szCs w:val="24"/>
        </w:rPr>
        <w:t xml:space="preserve">-Lumefantrine (A-L) and Artesunate-Amodiaquine (A-A) were obtained from the Kano State Malaria Elimination Program (MEP) while </w:t>
      </w:r>
      <w:proofErr w:type="spellStart"/>
      <w:r w:rsidR="00F17357" w:rsidRPr="00F17357">
        <w:rPr>
          <w:bCs/>
          <w:szCs w:val="24"/>
        </w:rPr>
        <w:t>Dihydroartemisinin</w:t>
      </w:r>
      <w:proofErr w:type="spellEnd"/>
      <w:r w:rsidR="00F17357" w:rsidRPr="00F17357">
        <w:rPr>
          <w:bCs/>
          <w:szCs w:val="24"/>
        </w:rPr>
        <w:t xml:space="preserve">-Piperaquine (D-P) was obtained from authorized dealers. Immediately after determination of the malaria </w:t>
      </w:r>
      <w:proofErr w:type="spellStart"/>
      <w:r w:rsidR="00F17357" w:rsidRPr="00F17357">
        <w:rPr>
          <w:bCs/>
          <w:szCs w:val="24"/>
        </w:rPr>
        <w:t>parasitaemia</w:t>
      </w:r>
      <w:proofErr w:type="spellEnd"/>
      <w:r w:rsidR="00F17357" w:rsidRPr="00F17357">
        <w:rPr>
          <w:bCs/>
          <w:szCs w:val="24"/>
        </w:rPr>
        <w:t>, patients were prescribed with one of the three ACTs according to the manufacturer's instruction for 3 days as recommended by the National Antimalarial Treatment Policy (NATP) of the</w:t>
      </w:r>
      <w:r w:rsidR="00AD64FE">
        <w:rPr>
          <w:bCs/>
          <w:szCs w:val="24"/>
        </w:rPr>
        <w:t xml:space="preserve"> Federal Ministry of Health (2013)</w:t>
      </w:r>
      <w:r w:rsidR="00F17357" w:rsidRPr="00F17357">
        <w:rPr>
          <w:bCs/>
          <w:szCs w:val="24"/>
        </w:rPr>
        <w:t>, under the scrutiny of a physician.</w:t>
      </w:r>
    </w:p>
    <w:p w:rsidR="005F0B71" w:rsidRPr="00F17357" w:rsidRDefault="00F17357" w:rsidP="00F17357">
      <w:pPr>
        <w:widowControl w:val="0"/>
        <w:pBdr>
          <w:top w:val="nil"/>
          <w:left w:val="nil"/>
          <w:bottom w:val="nil"/>
          <w:right w:val="nil"/>
          <w:between w:val="nil"/>
        </w:pBdr>
        <w:spacing w:line="252" w:lineRule="auto"/>
        <w:ind w:firstLine="202"/>
        <w:jc w:val="both"/>
        <w:rPr>
          <w:color w:val="000000"/>
          <w:sz w:val="16"/>
        </w:rPr>
      </w:pPr>
      <w:proofErr w:type="spellStart"/>
      <w:r w:rsidRPr="00F17357">
        <w:rPr>
          <w:bCs/>
          <w:szCs w:val="24"/>
        </w:rPr>
        <w:t>Lumartem</w:t>
      </w:r>
      <w:proofErr w:type="spellEnd"/>
      <w:r w:rsidRPr="00F17357">
        <w:rPr>
          <w:bCs/>
          <w:szCs w:val="24"/>
        </w:rPr>
        <w:t xml:space="preserve"> (</w:t>
      </w:r>
      <w:proofErr w:type="spellStart"/>
      <w:r w:rsidRPr="00F17357">
        <w:rPr>
          <w:bCs/>
          <w:szCs w:val="24"/>
        </w:rPr>
        <w:t>Cipla</w:t>
      </w:r>
      <w:proofErr w:type="spellEnd"/>
      <w:r w:rsidRPr="00F17357">
        <w:rPr>
          <w:bCs/>
          <w:szCs w:val="24"/>
        </w:rPr>
        <w:t xml:space="preserve">, Ltd) and </w:t>
      </w:r>
      <w:proofErr w:type="spellStart"/>
      <w:r w:rsidRPr="00F17357">
        <w:rPr>
          <w:bCs/>
          <w:szCs w:val="24"/>
        </w:rPr>
        <w:t>Macalum</w:t>
      </w:r>
      <w:proofErr w:type="spellEnd"/>
      <w:r w:rsidRPr="00F17357">
        <w:rPr>
          <w:bCs/>
          <w:szCs w:val="24"/>
        </w:rPr>
        <w:t xml:space="preserve"> (</w:t>
      </w:r>
      <w:proofErr w:type="spellStart"/>
      <w:r w:rsidRPr="00F17357">
        <w:rPr>
          <w:bCs/>
          <w:szCs w:val="24"/>
        </w:rPr>
        <w:t>Macleods</w:t>
      </w:r>
      <w:proofErr w:type="spellEnd"/>
      <w:r w:rsidRPr="00F17357">
        <w:rPr>
          <w:bCs/>
          <w:szCs w:val="24"/>
        </w:rPr>
        <w:t xml:space="preserve"> Pharm) containing 20mg of </w:t>
      </w:r>
      <w:proofErr w:type="spellStart"/>
      <w:r w:rsidRPr="00F17357">
        <w:rPr>
          <w:bCs/>
          <w:szCs w:val="24"/>
        </w:rPr>
        <w:t>arthemeter</w:t>
      </w:r>
      <w:proofErr w:type="spellEnd"/>
      <w:r w:rsidRPr="00F17357">
        <w:rPr>
          <w:bCs/>
          <w:szCs w:val="24"/>
        </w:rPr>
        <w:t xml:space="preserve"> and 120mg of </w:t>
      </w:r>
      <w:proofErr w:type="spellStart"/>
      <w:r w:rsidRPr="00F17357">
        <w:rPr>
          <w:bCs/>
          <w:szCs w:val="24"/>
        </w:rPr>
        <w:t>lumefantrine</w:t>
      </w:r>
      <w:proofErr w:type="spellEnd"/>
      <w:r w:rsidRPr="00F17357">
        <w:rPr>
          <w:bCs/>
          <w:szCs w:val="24"/>
        </w:rPr>
        <w:t xml:space="preserve"> was prescribed according to body weight. Patients weighing 15 to &lt; 25kg were prescribed with two tablets daily, those weighing 25 to &lt; 35kg were prescribed with three tablets daily and those weighing ≥ 35kg or ≥ 12 years of age were prescribed with four tablets twice daily, for three consecutive days respectively. Similarly, ASAQ (Winthrop®) containing </w:t>
      </w:r>
      <w:r w:rsidRPr="00F17357">
        <w:rPr>
          <w:bCs/>
          <w:szCs w:val="24"/>
        </w:rPr>
        <w:lastRenderedPageBreak/>
        <w:t xml:space="preserve">100mg of Artesunate and 270mg of Amodiaquine </w:t>
      </w:r>
      <w:proofErr w:type="gramStart"/>
      <w:r w:rsidRPr="00F17357">
        <w:rPr>
          <w:bCs/>
          <w:szCs w:val="24"/>
        </w:rPr>
        <w:t>was</w:t>
      </w:r>
      <w:proofErr w:type="gramEnd"/>
      <w:r w:rsidRPr="00F17357">
        <w:rPr>
          <w:bCs/>
          <w:szCs w:val="24"/>
        </w:rPr>
        <w:t xml:space="preserve"> prescribed according to body weight. Patients weighing 18 – 35kg were prescribed with one tablet daily and two tablets to patients weighing ≥ 36 for three days, respectively. Furthermore, P-</w:t>
      </w:r>
      <w:proofErr w:type="spellStart"/>
      <w:r w:rsidRPr="00F17357">
        <w:rPr>
          <w:bCs/>
          <w:szCs w:val="24"/>
        </w:rPr>
        <w:t>Alaxin</w:t>
      </w:r>
      <w:r w:rsidRPr="00F17357">
        <w:rPr>
          <w:bCs/>
          <w:szCs w:val="24"/>
          <w:vertAlign w:val="superscript"/>
        </w:rPr>
        <w:t>TM</w:t>
      </w:r>
      <w:proofErr w:type="spellEnd"/>
      <w:r w:rsidRPr="00F17357">
        <w:rPr>
          <w:bCs/>
          <w:szCs w:val="24"/>
          <w:vertAlign w:val="superscript"/>
        </w:rPr>
        <w:t xml:space="preserve"> </w:t>
      </w:r>
      <w:r w:rsidRPr="00F17357">
        <w:rPr>
          <w:bCs/>
          <w:szCs w:val="24"/>
        </w:rPr>
        <w:t xml:space="preserve">and </w:t>
      </w:r>
      <w:proofErr w:type="spellStart"/>
      <w:r w:rsidRPr="00F17357">
        <w:rPr>
          <w:bCs/>
          <w:szCs w:val="24"/>
        </w:rPr>
        <w:t>Pymal</w:t>
      </w:r>
      <w:proofErr w:type="spellEnd"/>
      <w:r w:rsidRPr="00F17357">
        <w:rPr>
          <w:bCs/>
          <w:szCs w:val="24"/>
        </w:rPr>
        <w:t xml:space="preserve">® containing 40mg of </w:t>
      </w:r>
      <w:proofErr w:type="spellStart"/>
      <w:r w:rsidRPr="00F17357">
        <w:rPr>
          <w:bCs/>
          <w:szCs w:val="24"/>
        </w:rPr>
        <w:t>Dihydroartemisinin</w:t>
      </w:r>
      <w:proofErr w:type="spellEnd"/>
      <w:r w:rsidRPr="00F17357">
        <w:rPr>
          <w:bCs/>
          <w:szCs w:val="24"/>
        </w:rPr>
        <w:t xml:space="preserve"> and 320mg of Piperaquine were prescribed according to age. Younger (6 – 10 years) patients were prescribed with three tablets for three days once daily; 11 - &gt;16 years of age were prescribed with 6 tablets for three days twice daily and patients ≥ 16 years of age were prescribed with 6 nine tablets three times daily for three days.</w:t>
      </w:r>
    </w:p>
    <w:p w:rsidR="005F0B71" w:rsidRPr="002D5CCE" w:rsidRDefault="002D5CCE">
      <w:pPr>
        <w:pStyle w:val="Heading2"/>
        <w:numPr>
          <w:ilvl w:val="1"/>
          <w:numId w:val="5"/>
        </w:numPr>
        <w:rPr>
          <w:sz w:val="16"/>
        </w:rPr>
      </w:pPr>
      <w:bookmarkStart w:id="6" w:name="_Toc17565426"/>
      <w:r w:rsidRPr="002D5CCE">
        <w:rPr>
          <w:szCs w:val="24"/>
        </w:rPr>
        <w:t>Classification of Treatment</w:t>
      </w:r>
      <w:bookmarkEnd w:id="6"/>
      <w:r w:rsidRPr="002D5CCE">
        <w:rPr>
          <w:szCs w:val="24"/>
        </w:rPr>
        <w:t xml:space="preserve"> Responses</w:t>
      </w:r>
    </w:p>
    <w:p w:rsidR="005F0B71" w:rsidRDefault="008D7CE9">
      <w:pPr>
        <w:widowControl w:val="0"/>
        <w:pBdr>
          <w:top w:val="nil"/>
          <w:left w:val="nil"/>
          <w:bottom w:val="nil"/>
          <w:right w:val="nil"/>
          <w:between w:val="nil"/>
        </w:pBdr>
        <w:spacing w:line="252" w:lineRule="auto"/>
        <w:ind w:firstLine="202"/>
        <w:jc w:val="both"/>
        <w:rPr>
          <w:bCs/>
          <w:szCs w:val="24"/>
        </w:rPr>
      </w:pPr>
      <w:r w:rsidRPr="0018470A">
        <w:rPr>
          <w:i/>
          <w:color w:val="000000"/>
          <w:sz w:val="16"/>
        </w:rPr>
        <w:t xml:space="preserve"> </w:t>
      </w:r>
      <w:r w:rsidR="0018470A" w:rsidRPr="0018470A">
        <w:rPr>
          <w:bCs/>
          <w:szCs w:val="24"/>
        </w:rPr>
        <w:t xml:space="preserve">Treatment responses were classified by assessing the parasitological and clinical outcomes of antimalarial treatment according to the guidelines of </w:t>
      </w:r>
      <w:r w:rsidR="0018470A" w:rsidRPr="0018470A">
        <w:rPr>
          <w:bCs/>
          <w:szCs w:val="24"/>
        </w:rPr>
        <w:fldChar w:fldCharType="begin" w:fldLock="1"/>
      </w:r>
      <w:r w:rsidR="0018470A" w:rsidRPr="0018470A">
        <w:rPr>
          <w:bCs/>
          <w:szCs w:val="24"/>
        </w:rPr>
        <w:instrText>ADDIN CSL_CITATION { "citationItems" : [ { "id" : "ITEM-1", "itemData" : { "author" : [ { "dropping-particle" : "", "family" : "WHO", "given" : "", "non-dropping-particle" : "", "parse-names" : false, "suffix" : "" } ], "container-title" : "Medicines for Malaria Venture", "id" : "ITEM-1", "issue" : "6", "issued" : { "date-parts" : [ [ "2009" ] ] }, "page" : "1-90", "title" : "Methods for surveillance of antimalarial drug efficacy", "type" : "article-journal", "volume" : "25" }, "uris" : [ "http://www.mendeley.com/documents/?uuid=5c0a310e-0507-4698-b2c7-9a15cfa706e7" ] } ], "mendeley" : { "formattedCitation" : "(WHO, 2009)", "manualFormatting" : "WHO (2009)", "plainTextFormattedCitation" : "(WHO, 2009)", "previouslyFormattedCitation" : "(WHO, 2009)" }, "properties" : {  }, "schema" : "https://github.com/citation-style-language/schema/raw/master/csl-citation.json" }</w:instrText>
      </w:r>
      <w:r w:rsidR="0018470A" w:rsidRPr="0018470A">
        <w:rPr>
          <w:bCs/>
          <w:szCs w:val="24"/>
        </w:rPr>
        <w:fldChar w:fldCharType="separate"/>
      </w:r>
      <w:r w:rsidR="0018470A" w:rsidRPr="0018470A">
        <w:rPr>
          <w:bCs/>
          <w:noProof/>
          <w:szCs w:val="24"/>
        </w:rPr>
        <w:t xml:space="preserve">WHO </w:t>
      </w:r>
      <w:r w:rsidR="00DF1803">
        <w:rPr>
          <w:bCs/>
          <w:noProof/>
          <w:szCs w:val="24"/>
        </w:rPr>
        <w:t>(2009)</w:t>
      </w:r>
      <w:r w:rsidR="0018470A" w:rsidRPr="0018470A">
        <w:rPr>
          <w:bCs/>
          <w:szCs w:val="24"/>
        </w:rPr>
        <w:fldChar w:fldCharType="end"/>
      </w:r>
      <w:r w:rsidR="0018470A" w:rsidRPr="0018470A">
        <w:rPr>
          <w:bCs/>
          <w:szCs w:val="24"/>
        </w:rPr>
        <w:t xml:space="preserve">. Patients were classified as having either early treatment failure (ETF) (which entails the presence of </w:t>
      </w:r>
      <w:proofErr w:type="spellStart"/>
      <w:r w:rsidR="0018470A" w:rsidRPr="0018470A">
        <w:rPr>
          <w:bCs/>
          <w:szCs w:val="24"/>
        </w:rPr>
        <w:t>parasitaemia</w:t>
      </w:r>
      <w:proofErr w:type="spellEnd"/>
      <w:r w:rsidR="0018470A" w:rsidRPr="0018470A">
        <w:rPr>
          <w:bCs/>
          <w:szCs w:val="24"/>
        </w:rPr>
        <w:t xml:space="preserve"> on day 3 with axillary temperature of ≥ 37.5°C), late clinical failure (LCF) (where there was the presence of parasites on any day between day 4 and day 28 with axillary temperature of  ≥ 37.5°C), patients who did not meet any of the criteria of ETF or LCF, if there was the presence of </w:t>
      </w:r>
      <w:proofErr w:type="spellStart"/>
      <w:r w:rsidR="0018470A" w:rsidRPr="0018470A">
        <w:rPr>
          <w:bCs/>
          <w:szCs w:val="24"/>
        </w:rPr>
        <w:t>parasitaemia</w:t>
      </w:r>
      <w:proofErr w:type="spellEnd"/>
      <w:r w:rsidR="0018470A" w:rsidRPr="0018470A">
        <w:rPr>
          <w:bCs/>
          <w:szCs w:val="24"/>
        </w:rPr>
        <w:t xml:space="preserve"> on any day between day 7 and day 28 with axillary temperature of &lt; 37.5°C or an adequate clinical and parasitological response (ACPR) (if there was absence of </w:t>
      </w:r>
      <w:proofErr w:type="spellStart"/>
      <w:r w:rsidR="0018470A" w:rsidRPr="0018470A">
        <w:rPr>
          <w:bCs/>
          <w:szCs w:val="24"/>
        </w:rPr>
        <w:t>parasitaemia</w:t>
      </w:r>
      <w:proofErr w:type="spellEnd"/>
      <w:r w:rsidR="0018470A" w:rsidRPr="0018470A">
        <w:rPr>
          <w:bCs/>
          <w:szCs w:val="24"/>
        </w:rPr>
        <w:t xml:space="preserve"> from day 3 to day 28, irrespective of axillary temperature).</w:t>
      </w:r>
    </w:p>
    <w:p w:rsidR="00A37C7F" w:rsidRPr="00A37C7F" w:rsidRDefault="00A37C7F" w:rsidP="00A37C7F">
      <w:pPr>
        <w:pStyle w:val="Heading2"/>
        <w:numPr>
          <w:ilvl w:val="1"/>
          <w:numId w:val="5"/>
        </w:numPr>
        <w:rPr>
          <w:sz w:val="12"/>
        </w:rPr>
      </w:pPr>
      <w:r w:rsidRPr="00A37C7F">
        <w:rPr>
          <w:szCs w:val="24"/>
        </w:rPr>
        <w:t>Molecular Analyses</w:t>
      </w:r>
    </w:p>
    <w:p w:rsidR="00A37C7F" w:rsidRPr="00A37C7F" w:rsidRDefault="00A37C7F" w:rsidP="00A37C7F">
      <w:pPr>
        <w:widowControl w:val="0"/>
        <w:pBdr>
          <w:top w:val="nil"/>
          <w:left w:val="nil"/>
          <w:bottom w:val="nil"/>
          <w:right w:val="nil"/>
          <w:between w:val="nil"/>
        </w:pBdr>
        <w:spacing w:line="252" w:lineRule="auto"/>
        <w:ind w:firstLine="202"/>
        <w:jc w:val="both"/>
        <w:rPr>
          <w:color w:val="000000"/>
          <w:sz w:val="12"/>
        </w:rPr>
      </w:pPr>
      <w:r w:rsidRPr="00A37C7F">
        <w:rPr>
          <w:i/>
          <w:color w:val="000000"/>
          <w:sz w:val="12"/>
        </w:rPr>
        <w:t xml:space="preserve"> </w:t>
      </w:r>
      <w:r w:rsidRPr="00A37C7F">
        <w:rPr>
          <w:bCs/>
          <w:szCs w:val="24"/>
        </w:rPr>
        <w:t xml:space="preserve">The genotypic profiles of pre and post treatment parasite strains were evaluated following standard procedures to distinguish recrudescence and re-infection based on the amplification of </w:t>
      </w:r>
      <w:proofErr w:type="spellStart"/>
      <w:r w:rsidRPr="00A37C7F">
        <w:rPr>
          <w:bCs/>
          <w:szCs w:val="24"/>
        </w:rPr>
        <w:t>merozoite</w:t>
      </w:r>
      <w:proofErr w:type="spellEnd"/>
      <w:r w:rsidRPr="00A37C7F">
        <w:rPr>
          <w:bCs/>
          <w:szCs w:val="24"/>
        </w:rPr>
        <w:t xml:space="preserve"> surface protein 2 (MSP2) </w:t>
      </w:r>
      <w:r w:rsidR="006D1126">
        <w:rPr>
          <w:bCs/>
          <w:szCs w:val="24"/>
        </w:rPr>
        <w:t>(WHO</w:t>
      </w:r>
      <w:r w:rsidR="006D1126" w:rsidRPr="006D1126">
        <w:rPr>
          <w:bCs/>
        </w:rPr>
        <w:t xml:space="preserve">, 2007; </w:t>
      </w:r>
      <w:r w:rsidR="006D1126" w:rsidRPr="006D1126">
        <w:rPr>
          <w:noProof/>
        </w:rPr>
        <w:t xml:space="preserve">Petrica </w:t>
      </w:r>
      <w:r w:rsidR="006D1126" w:rsidRPr="006D1126">
        <w:rPr>
          <w:i/>
          <w:noProof/>
        </w:rPr>
        <w:t>et al.</w:t>
      </w:r>
      <w:r w:rsidR="006D1126" w:rsidRPr="006D1126">
        <w:rPr>
          <w:noProof/>
        </w:rPr>
        <w:t>, 2008; Kidima and Nkwengulila, 2015</w:t>
      </w:r>
      <w:r w:rsidR="006D1126" w:rsidRPr="006D1126">
        <w:rPr>
          <w:bCs/>
        </w:rPr>
        <w:t>)</w:t>
      </w:r>
      <w:r w:rsidR="006D1126">
        <w:rPr>
          <w:bCs/>
          <w:szCs w:val="24"/>
        </w:rPr>
        <w:t>.</w:t>
      </w:r>
    </w:p>
    <w:p w:rsidR="00A37C7F" w:rsidRPr="00A37C7F" w:rsidRDefault="00A37C7F" w:rsidP="00A37C7F">
      <w:pPr>
        <w:pStyle w:val="Heading2"/>
        <w:numPr>
          <w:ilvl w:val="1"/>
          <w:numId w:val="5"/>
        </w:numPr>
        <w:rPr>
          <w:sz w:val="12"/>
        </w:rPr>
      </w:pPr>
      <w:r w:rsidRPr="00A37C7F">
        <w:rPr>
          <w:szCs w:val="24"/>
        </w:rPr>
        <w:t xml:space="preserve">Extraction of </w:t>
      </w:r>
      <w:r w:rsidRPr="00A37C7F">
        <w:rPr>
          <w:bCs/>
          <w:szCs w:val="24"/>
        </w:rPr>
        <w:t xml:space="preserve">Plasmodium falciparum </w:t>
      </w:r>
      <w:r w:rsidRPr="00A37C7F">
        <w:rPr>
          <w:szCs w:val="24"/>
        </w:rPr>
        <w:t>DNA</w:t>
      </w:r>
    </w:p>
    <w:p w:rsidR="00A37C7F" w:rsidRDefault="00A37C7F" w:rsidP="00A37C7F">
      <w:pPr>
        <w:widowControl w:val="0"/>
        <w:pBdr>
          <w:top w:val="nil"/>
          <w:left w:val="nil"/>
          <w:bottom w:val="nil"/>
          <w:right w:val="nil"/>
          <w:between w:val="nil"/>
        </w:pBdr>
        <w:spacing w:line="252" w:lineRule="auto"/>
        <w:ind w:firstLine="202"/>
        <w:jc w:val="both"/>
        <w:rPr>
          <w:bCs/>
          <w:szCs w:val="24"/>
        </w:rPr>
      </w:pPr>
      <w:r w:rsidRPr="00A37C7F">
        <w:rPr>
          <w:i/>
          <w:color w:val="000000"/>
          <w:sz w:val="12"/>
        </w:rPr>
        <w:t xml:space="preserve"> </w:t>
      </w:r>
      <w:r w:rsidRPr="00A37C7F">
        <w:rPr>
          <w:bCs/>
          <w:i/>
          <w:szCs w:val="24"/>
        </w:rPr>
        <w:t>Plasmodium falciparum</w:t>
      </w:r>
      <w:r w:rsidRPr="00A37C7F">
        <w:rPr>
          <w:bCs/>
          <w:szCs w:val="24"/>
        </w:rPr>
        <w:t xml:space="preserve"> DNA was extract</w:t>
      </w:r>
      <w:r w:rsidR="0093002D">
        <w:rPr>
          <w:bCs/>
          <w:szCs w:val="24"/>
        </w:rPr>
        <w:t xml:space="preserve">ed using the </w:t>
      </w:r>
      <w:proofErr w:type="spellStart"/>
      <w:r w:rsidR="0093002D">
        <w:rPr>
          <w:bCs/>
          <w:szCs w:val="24"/>
        </w:rPr>
        <w:t>chelex</w:t>
      </w:r>
      <w:proofErr w:type="spellEnd"/>
      <w:r w:rsidR="0093002D">
        <w:rPr>
          <w:bCs/>
          <w:szCs w:val="24"/>
        </w:rPr>
        <w:t xml:space="preserve"> method </w:t>
      </w:r>
      <w:r w:rsidR="0089577D">
        <w:rPr>
          <w:bCs/>
          <w:szCs w:val="24"/>
        </w:rPr>
        <w:t xml:space="preserve">as described by </w:t>
      </w:r>
      <w:r w:rsidR="0093002D" w:rsidRPr="006D1126">
        <w:rPr>
          <w:noProof/>
        </w:rPr>
        <w:t>Kidima and Nkwengulila</w:t>
      </w:r>
      <w:r w:rsidR="0089577D">
        <w:rPr>
          <w:noProof/>
        </w:rPr>
        <w:t xml:space="preserve"> (</w:t>
      </w:r>
      <w:r w:rsidR="0093002D" w:rsidRPr="006D1126">
        <w:rPr>
          <w:noProof/>
        </w:rPr>
        <w:t>2015</w:t>
      </w:r>
      <w:r w:rsidR="0093002D">
        <w:rPr>
          <w:bCs/>
          <w:szCs w:val="24"/>
        </w:rPr>
        <w:t>)</w:t>
      </w:r>
      <w:r w:rsidR="0089577D">
        <w:rPr>
          <w:bCs/>
          <w:szCs w:val="24"/>
        </w:rPr>
        <w:t>,</w:t>
      </w:r>
      <w:r w:rsidR="0093002D">
        <w:rPr>
          <w:bCs/>
          <w:szCs w:val="24"/>
        </w:rPr>
        <w:t xml:space="preserve"> </w:t>
      </w:r>
      <w:r w:rsidRPr="00A37C7F">
        <w:rPr>
          <w:bCs/>
          <w:szCs w:val="24"/>
        </w:rPr>
        <w:t xml:space="preserve">in which filter paper blots were boiled in the presence of </w:t>
      </w:r>
      <w:proofErr w:type="spellStart"/>
      <w:r w:rsidRPr="00A37C7F">
        <w:rPr>
          <w:bCs/>
          <w:szCs w:val="24"/>
        </w:rPr>
        <w:t>chelex</w:t>
      </w:r>
      <w:proofErr w:type="spellEnd"/>
      <w:r w:rsidRPr="00A37C7F">
        <w:rPr>
          <w:bCs/>
          <w:szCs w:val="24"/>
        </w:rPr>
        <w:t>, and 3mm</w:t>
      </w:r>
      <w:r w:rsidRPr="00A37C7F">
        <w:rPr>
          <w:bCs/>
          <w:szCs w:val="24"/>
          <w:vertAlign w:val="superscript"/>
        </w:rPr>
        <w:t xml:space="preserve">2 </w:t>
      </w:r>
      <w:r w:rsidRPr="00A37C7F">
        <w:rPr>
          <w:bCs/>
          <w:szCs w:val="24"/>
        </w:rPr>
        <w:t>cut was made and placed in 1.5mL tubes containing 1mL of Phosphate Buffered Saline (PBS; pH7.4) and 50</w:t>
      </w:r>
      <w:r w:rsidRPr="00A37C7F">
        <w:rPr>
          <w:rFonts w:eastAsia="Malgun Gothic"/>
          <w:bCs/>
          <w:szCs w:val="24"/>
        </w:rPr>
        <w:t>µ</w:t>
      </w:r>
      <w:r w:rsidRPr="00A37C7F">
        <w:rPr>
          <w:bCs/>
          <w:szCs w:val="24"/>
        </w:rPr>
        <w:t xml:space="preserve">L of 10% </w:t>
      </w:r>
      <w:proofErr w:type="spellStart"/>
      <w:r w:rsidRPr="00A37C7F">
        <w:rPr>
          <w:bCs/>
          <w:szCs w:val="24"/>
        </w:rPr>
        <w:t>saponin</w:t>
      </w:r>
      <w:proofErr w:type="spellEnd"/>
      <w:r w:rsidRPr="00A37C7F">
        <w:rPr>
          <w:bCs/>
          <w:szCs w:val="24"/>
        </w:rPr>
        <w:t>. The mixture was then incubated overnight (4</w:t>
      </w:r>
      <w:r w:rsidRPr="00A37C7F">
        <w:rPr>
          <w:bCs/>
          <w:szCs w:val="24"/>
          <w:vertAlign w:val="superscript"/>
        </w:rPr>
        <w:t>o</w:t>
      </w:r>
      <w:r w:rsidRPr="00A37C7F">
        <w:rPr>
          <w:bCs/>
          <w:szCs w:val="24"/>
        </w:rPr>
        <w:t>C), centrifuged, followed by the addition of 1mL of PBS, incubated for two hours (4</w:t>
      </w:r>
      <w:r w:rsidRPr="00A37C7F">
        <w:rPr>
          <w:bCs/>
          <w:szCs w:val="24"/>
          <w:vertAlign w:val="superscript"/>
        </w:rPr>
        <w:t>o</w:t>
      </w:r>
      <w:r w:rsidRPr="00A37C7F">
        <w:rPr>
          <w:bCs/>
          <w:szCs w:val="24"/>
        </w:rPr>
        <w:t>C), centrifuged for 2 minutes and the filter paper was dried.. One hundred (100</w:t>
      </w:r>
      <w:r w:rsidRPr="00A37C7F">
        <w:rPr>
          <w:rFonts w:eastAsia="Malgun Gothic"/>
          <w:bCs/>
          <w:szCs w:val="24"/>
        </w:rPr>
        <w:t>µ</w:t>
      </w:r>
      <w:r w:rsidRPr="00A37C7F">
        <w:rPr>
          <w:bCs/>
          <w:szCs w:val="24"/>
        </w:rPr>
        <w:t>L) of sterile water was added to each tube containing 50</w:t>
      </w:r>
      <w:r w:rsidRPr="00A37C7F">
        <w:rPr>
          <w:rFonts w:eastAsia="Malgun Gothic"/>
          <w:bCs/>
          <w:szCs w:val="24"/>
        </w:rPr>
        <w:t>µ</w:t>
      </w:r>
      <w:r w:rsidRPr="00A37C7F">
        <w:rPr>
          <w:bCs/>
          <w:szCs w:val="24"/>
        </w:rPr>
        <w:t xml:space="preserve">L of 20% </w:t>
      </w:r>
      <w:proofErr w:type="spellStart"/>
      <w:r w:rsidRPr="00A37C7F">
        <w:rPr>
          <w:bCs/>
          <w:szCs w:val="24"/>
        </w:rPr>
        <w:t>chelex</w:t>
      </w:r>
      <w:proofErr w:type="spellEnd"/>
      <w:r w:rsidRPr="00A37C7F">
        <w:rPr>
          <w:bCs/>
          <w:szCs w:val="24"/>
        </w:rPr>
        <w:t xml:space="preserve">, transferred to the tube, inverting the </w:t>
      </w:r>
      <w:proofErr w:type="spellStart"/>
      <w:r w:rsidRPr="00A37C7F">
        <w:rPr>
          <w:bCs/>
          <w:szCs w:val="24"/>
        </w:rPr>
        <w:t>chelex</w:t>
      </w:r>
      <w:proofErr w:type="spellEnd"/>
      <w:r w:rsidRPr="00A37C7F">
        <w:rPr>
          <w:bCs/>
          <w:szCs w:val="24"/>
        </w:rPr>
        <w:t xml:space="preserve"> solution after every transfer. The DNA was then extracted by incubating the tubes for 20 minutes on a 100</w:t>
      </w:r>
      <w:r w:rsidRPr="00A37C7F">
        <w:rPr>
          <w:bCs/>
          <w:szCs w:val="24"/>
          <w:vertAlign w:val="superscript"/>
        </w:rPr>
        <w:t>o</w:t>
      </w:r>
      <w:r w:rsidRPr="00A37C7F">
        <w:rPr>
          <w:bCs/>
          <w:szCs w:val="24"/>
        </w:rPr>
        <w:t xml:space="preserve">C heat block, </w:t>
      </w:r>
      <w:proofErr w:type="spellStart"/>
      <w:r w:rsidRPr="00A37C7F">
        <w:rPr>
          <w:bCs/>
          <w:szCs w:val="24"/>
        </w:rPr>
        <w:t>vortexing</w:t>
      </w:r>
      <w:proofErr w:type="spellEnd"/>
      <w:r w:rsidRPr="00A37C7F">
        <w:rPr>
          <w:bCs/>
          <w:szCs w:val="24"/>
        </w:rPr>
        <w:t xml:space="preserve"> each sample every two minutes, centrifuged for 2 minutes, followed by 10 minutes at 14,000 revolutions per minute to remove </w:t>
      </w:r>
      <w:proofErr w:type="spellStart"/>
      <w:r w:rsidRPr="00A37C7F">
        <w:rPr>
          <w:bCs/>
          <w:szCs w:val="24"/>
        </w:rPr>
        <w:t>chelex</w:t>
      </w:r>
      <w:proofErr w:type="spellEnd"/>
      <w:r w:rsidRPr="00A37C7F">
        <w:rPr>
          <w:bCs/>
          <w:szCs w:val="24"/>
        </w:rPr>
        <w:t xml:space="preserve"> resin, leaving the parasite DNA in the supernatant. The parasite DNA was then stored in tubes at −20</w:t>
      </w:r>
      <w:r w:rsidRPr="00A37C7F">
        <w:rPr>
          <w:bCs/>
          <w:szCs w:val="24"/>
          <w:vertAlign w:val="superscript"/>
        </w:rPr>
        <w:t>o</w:t>
      </w:r>
      <w:r w:rsidRPr="00A37C7F">
        <w:rPr>
          <w:bCs/>
          <w:szCs w:val="24"/>
        </w:rPr>
        <w:t>C.</w:t>
      </w:r>
    </w:p>
    <w:p w:rsidR="00D83C98" w:rsidRPr="00D83C98" w:rsidRDefault="00D83C98" w:rsidP="00D83C98">
      <w:pPr>
        <w:pStyle w:val="Heading2"/>
        <w:numPr>
          <w:ilvl w:val="1"/>
          <w:numId w:val="5"/>
        </w:numPr>
      </w:pPr>
      <w:r w:rsidRPr="00D83C98">
        <w:t>Parasite Genotyping</w:t>
      </w:r>
    </w:p>
    <w:p w:rsidR="00D83C98" w:rsidRDefault="00D83C98" w:rsidP="00DF66F5">
      <w:pPr>
        <w:widowControl w:val="0"/>
        <w:pBdr>
          <w:top w:val="nil"/>
          <w:left w:val="nil"/>
          <w:bottom w:val="nil"/>
          <w:right w:val="nil"/>
          <w:between w:val="nil"/>
        </w:pBdr>
        <w:spacing w:after="240" w:line="252" w:lineRule="auto"/>
        <w:ind w:firstLine="202"/>
        <w:jc w:val="both"/>
        <w:rPr>
          <w:bCs/>
          <w:szCs w:val="24"/>
        </w:rPr>
      </w:pPr>
      <w:r w:rsidRPr="00D97EA6">
        <w:rPr>
          <w:i/>
          <w:color w:val="000000"/>
          <w:sz w:val="8"/>
        </w:rPr>
        <w:t xml:space="preserve"> </w:t>
      </w:r>
      <w:r w:rsidR="00D97EA6" w:rsidRPr="00D97EA6">
        <w:rPr>
          <w:bCs/>
          <w:szCs w:val="24"/>
        </w:rPr>
        <w:t xml:space="preserve">Nested Polymerase Chain Reaction (PCR) was used to amplify repetitive regions of the Block 3 region of MSP2. </w:t>
      </w:r>
      <w:r w:rsidR="00D97EA6" w:rsidRPr="00D97EA6">
        <w:rPr>
          <w:bCs/>
          <w:szCs w:val="24"/>
        </w:rPr>
        <w:lastRenderedPageBreak/>
        <w:t xml:space="preserve">Oligonucleotide primers, specific for </w:t>
      </w:r>
      <w:r w:rsidR="00D97EA6" w:rsidRPr="00D97EA6">
        <w:rPr>
          <w:bCs/>
          <w:i/>
          <w:szCs w:val="24"/>
        </w:rPr>
        <w:t xml:space="preserve">P. falciparum </w:t>
      </w:r>
      <w:r w:rsidR="00D97EA6" w:rsidRPr="00D97EA6">
        <w:rPr>
          <w:bCs/>
          <w:szCs w:val="24"/>
        </w:rPr>
        <w:t xml:space="preserve">and alleles determined by Restriction Fragment Length Polymorphism (RFLP), were used </w:t>
      </w:r>
      <w:r w:rsidR="00BF1E11">
        <w:rPr>
          <w:bCs/>
          <w:szCs w:val="24"/>
        </w:rPr>
        <w:t>(</w:t>
      </w:r>
      <w:proofErr w:type="spellStart"/>
      <w:r w:rsidR="00BF1E11" w:rsidRPr="006D1126">
        <w:rPr>
          <w:noProof/>
        </w:rPr>
        <w:t>Petrica</w:t>
      </w:r>
      <w:proofErr w:type="spellEnd"/>
      <w:r w:rsidR="00BF1E11" w:rsidRPr="006D1126">
        <w:rPr>
          <w:noProof/>
        </w:rPr>
        <w:t xml:space="preserve"> </w:t>
      </w:r>
      <w:r w:rsidR="00BF1E11" w:rsidRPr="006D1126">
        <w:rPr>
          <w:i/>
          <w:noProof/>
        </w:rPr>
        <w:t>et al.</w:t>
      </w:r>
      <w:r w:rsidR="00BF1E11" w:rsidRPr="006D1126">
        <w:rPr>
          <w:noProof/>
        </w:rPr>
        <w:t>, 2008; Kidima and Nkwengulila, 2015</w:t>
      </w:r>
      <w:r w:rsidR="00BF1E11">
        <w:rPr>
          <w:bCs/>
          <w:szCs w:val="24"/>
        </w:rPr>
        <w:t>)</w:t>
      </w:r>
      <w:r w:rsidR="00D97EA6" w:rsidRPr="00D97EA6">
        <w:rPr>
          <w:bCs/>
          <w:szCs w:val="24"/>
        </w:rPr>
        <w:t>. The PCR amplifications were performed in a thermal cycler (</w:t>
      </w:r>
      <w:proofErr w:type="spellStart"/>
      <w:r w:rsidR="00D97EA6" w:rsidRPr="00D97EA6">
        <w:rPr>
          <w:szCs w:val="24"/>
        </w:rPr>
        <w:t>MyGene</w:t>
      </w:r>
      <w:proofErr w:type="spellEnd"/>
      <w:r w:rsidR="00D97EA6" w:rsidRPr="00D97EA6">
        <w:rPr>
          <w:szCs w:val="24"/>
        </w:rPr>
        <w:t xml:space="preserve"> </w:t>
      </w:r>
      <w:r w:rsidR="00D97EA6" w:rsidRPr="00D97EA6">
        <w:rPr>
          <w:szCs w:val="24"/>
          <w:vertAlign w:val="superscript"/>
        </w:rPr>
        <w:t>TM</w:t>
      </w:r>
      <w:r w:rsidR="00D97EA6" w:rsidRPr="00D97EA6">
        <w:rPr>
          <w:szCs w:val="24"/>
        </w:rPr>
        <w:t xml:space="preserve"> Series Peltier Thermal Cycler, Model MG96 G, </w:t>
      </w:r>
      <w:proofErr w:type="spellStart"/>
      <w:r w:rsidR="00D97EA6" w:rsidRPr="00D97EA6">
        <w:rPr>
          <w:szCs w:val="24"/>
        </w:rPr>
        <w:t>LongGene</w:t>
      </w:r>
      <w:proofErr w:type="spellEnd"/>
      <w:r w:rsidR="00D97EA6" w:rsidRPr="00D97EA6">
        <w:rPr>
          <w:szCs w:val="24"/>
        </w:rPr>
        <w:t xml:space="preserve"> Scientific Instruments Co., Ltd.</w:t>
      </w:r>
      <w:r w:rsidR="00D97EA6" w:rsidRPr="00D97EA6">
        <w:rPr>
          <w:bCs/>
          <w:szCs w:val="24"/>
        </w:rPr>
        <w:t>). The initial amplification was carried out on 20</w:t>
      </w:r>
      <w:r w:rsidR="00D97EA6" w:rsidRPr="00D97EA6">
        <w:rPr>
          <w:rFonts w:eastAsia="Malgun Gothic"/>
          <w:bCs/>
          <w:szCs w:val="24"/>
        </w:rPr>
        <w:t xml:space="preserve">µL </w:t>
      </w:r>
      <w:r w:rsidR="00D97EA6" w:rsidRPr="00D97EA6">
        <w:rPr>
          <w:bCs/>
          <w:szCs w:val="24"/>
        </w:rPr>
        <w:t xml:space="preserve">reaction volume containing </w:t>
      </w:r>
      <w:proofErr w:type="spellStart"/>
      <w:r w:rsidR="00D97EA6" w:rsidRPr="00D97EA6">
        <w:rPr>
          <w:bCs/>
          <w:szCs w:val="24"/>
        </w:rPr>
        <w:t>IxPCR</w:t>
      </w:r>
      <w:proofErr w:type="spellEnd"/>
      <w:r w:rsidR="00D97EA6" w:rsidRPr="00D97EA6">
        <w:rPr>
          <w:bCs/>
          <w:szCs w:val="24"/>
        </w:rPr>
        <w:t xml:space="preserve"> Buffer-MgCl</w:t>
      </w:r>
      <w:r w:rsidR="00D97EA6" w:rsidRPr="00D97EA6">
        <w:rPr>
          <w:bCs/>
          <w:szCs w:val="24"/>
          <w:vertAlign w:val="subscript"/>
        </w:rPr>
        <w:t>2</w:t>
      </w:r>
      <w:r w:rsidR="00D97EA6" w:rsidRPr="00D97EA6">
        <w:rPr>
          <w:bCs/>
          <w:szCs w:val="24"/>
        </w:rPr>
        <w:t>, 5</w:t>
      </w:r>
      <w:r w:rsidR="00D97EA6" w:rsidRPr="00D97EA6">
        <w:rPr>
          <w:rFonts w:eastAsia="Malgun Gothic"/>
          <w:bCs/>
          <w:szCs w:val="24"/>
        </w:rPr>
        <w:t>µ</w:t>
      </w:r>
      <w:r w:rsidR="00D97EA6" w:rsidRPr="00D97EA6">
        <w:rPr>
          <w:bCs/>
          <w:szCs w:val="24"/>
        </w:rPr>
        <w:t>L of DNA template, 1.5mM MgCl</w:t>
      </w:r>
      <w:r w:rsidR="00D97EA6" w:rsidRPr="00D97EA6">
        <w:rPr>
          <w:bCs/>
          <w:szCs w:val="24"/>
          <w:vertAlign w:val="subscript"/>
        </w:rPr>
        <w:t>2</w:t>
      </w:r>
      <w:r w:rsidR="00D97EA6" w:rsidRPr="00D97EA6">
        <w:rPr>
          <w:bCs/>
          <w:szCs w:val="24"/>
        </w:rPr>
        <w:t xml:space="preserve">, 125µM </w:t>
      </w:r>
      <w:proofErr w:type="spellStart"/>
      <w:r w:rsidR="00D97EA6" w:rsidRPr="00D97EA6">
        <w:rPr>
          <w:bCs/>
          <w:szCs w:val="24"/>
        </w:rPr>
        <w:t>deoxynucleoside</w:t>
      </w:r>
      <w:proofErr w:type="spellEnd"/>
      <w:r w:rsidR="00D97EA6" w:rsidRPr="00D97EA6">
        <w:rPr>
          <w:bCs/>
          <w:szCs w:val="24"/>
        </w:rPr>
        <w:t xml:space="preserve"> phosphates, 0.25</w:t>
      </w:r>
      <w:r w:rsidR="00D97EA6" w:rsidRPr="00D97EA6">
        <w:rPr>
          <w:rFonts w:eastAsia="Malgun Gothic"/>
          <w:bCs/>
          <w:szCs w:val="24"/>
        </w:rPr>
        <w:t>µ</w:t>
      </w:r>
      <w:r w:rsidR="00D97EA6" w:rsidRPr="00D97EA6">
        <w:rPr>
          <w:bCs/>
          <w:szCs w:val="24"/>
        </w:rPr>
        <w:t xml:space="preserve">M of primer pair (S2/S3), 0.02U of </w:t>
      </w:r>
      <w:proofErr w:type="spellStart"/>
      <w:r w:rsidR="00D97EA6" w:rsidRPr="00D97EA6">
        <w:rPr>
          <w:bCs/>
          <w:szCs w:val="24"/>
        </w:rPr>
        <w:t>Taq</w:t>
      </w:r>
      <w:proofErr w:type="spellEnd"/>
      <w:r w:rsidR="00D97EA6" w:rsidRPr="00D97EA6">
        <w:rPr>
          <w:bCs/>
          <w:szCs w:val="24"/>
        </w:rPr>
        <w:t xml:space="preserve"> polymerase. The cycling conditions involved 30 cycles of initial denaturation at 94</w:t>
      </w:r>
      <w:r w:rsidR="00D97EA6" w:rsidRPr="00D97EA6">
        <w:rPr>
          <w:bCs/>
          <w:szCs w:val="24"/>
          <w:vertAlign w:val="superscript"/>
        </w:rPr>
        <w:t>o</w:t>
      </w:r>
      <w:r w:rsidR="00D97EA6" w:rsidRPr="00D97EA6">
        <w:rPr>
          <w:bCs/>
          <w:szCs w:val="24"/>
        </w:rPr>
        <w:t>C for 5 minutes, denaturation at 94</w:t>
      </w:r>
      <w:r w:rsidR="00D97EA6" w:rsidRPr="00D97EA6">
        <w:rPr>
          <w:bCs/>
          <w:szCs w:val="24"/>
          <w:vertAlign w:val="superscript"/>
        </w:rPr>
        <w:t>o</w:t>
      </w:r>
      <w:r w:rsidR="00D97EA6" w:rsidRPr="00D97EA6">
        <w:rPr>
          <w:bCs/>
          <w:szCs w:val="24"/>
        </w:rPr>
        <w:t>C for 1 minute, annealing at 55</w:t>
      </w:r>
      <w:r w:rsidR="00D97EA6" w:rsidRPr="00D97EA6">
        <w:rPr>
          <w:bCs/>
          <w:szCs w:val="24"/>
          <w:vertAlign w:val="superscript"/>
        </w:rPr>
        <w:t>o</w:t>
      </w:r>
      <w:r w:rsidR="00D97EA6" w:rsidRPr="00D97EA6">
        <w:rPr>
          <w:bCs/>
          <w:szCs w:val="24"/>
        </w:rPr>
        <w:t>C for 2 minutes, followed by extension at 72</w:t>
      </w:r>
      <w:r w:rsidR="00D97EA6" w:rsidRPr="00D97EA6">
        <w:rPr>
          <w:bCs/>
          <w:szCs w:val="24"/>
          <w:vertAlign w:val="superscript"/>
        </w:rPr>
        <w:t>o</w:t>
      </w:r>
      <w:r w:rsidR="00D97EA6" w:rsidRPr="00D97EA6">
        <w:rPr>
          <w:bCs/>
          <w:szCs w:val="24"/>
        </w:rPr>
        <w:t xml:space="preserve"> C for 2 minutes. The amplicons generated from the first round of PCR by using the first pair primers, was used in place of a DNA templates. Second set of primers were used to amplify the 3D7 and FC27 allelic families of MSP2. The cycling condition was repeated as conducted during the first round of PCR. The resulting amplicons were resolved on 2% agarose-gel. Thereafter, restriction digestion was performed overnight, and the products were run on 10% PAA gel (Q-Bio gene, Canada) using 1.5mm spacers, stained and visualized under ultra violet (UV) trans-illumination.</w:t>
      </w:r>
    </w:p>
    <w:p w:rsidR="000A2A1C" w:rsidRPr="00A80D48" w:rsidRDefault="000A2A1C" w:rsidP="000A2A1C">
      <w:pPr>
        <w:jc w:val="both"/>
        <w:rPr>
          <w:bCs/>
          <w:noProof/>
          <w:szCs w:val="24"/>
        </w:rPr>
      </w:pPr>
      <w:r w:rsidRPr="00A80D48">
        <w:rPr>
          <w:bCs/>
          <w:szCs w:val="24"/>
        </w:rPr>
        <w:t xml:space="preserve">Table 1: Sequence of primers for amplifying MSP2 gene of </w:t>
      </w:r>
      <w:r w:rsidRPr="00A80D48">
        <w:rPr>
          <w:bCs/>
          <w:i/>
          <w:szCs w:val="24"/>
        </w:rPr>
        <w:t>Plasmodium falciparum</w:t>
      </w:r>
      <w:r w:rsidR="00706242">
        <w:rPr>
          <w:bCs/>
          <w:noProof/>
          <w:szCs w:val="24"/>
        </w:rPr>
        <w:t xml:space="preserve"> (</w:t>
      </w:r>
      <w:r w:rsidR="00706242" w:rsidRPr="006D1126">
        <w:rPr>
          <w:noProof/>
        </w:rPr>
        <w:t>Kidima and Nkwengulila, 2015</w:t>
      </w:r>
      <w:r w:rsidR="00706242">
        <w:rPr>
          <w:bCs/>
          <w:noProof/>
          <w:szCs w:val="24"/>
        </w:rPr>
        <w:t>)</w:t>
      </w:r>
    </w:p>
    <w:tbl>
      <w:tblPr>
        <w:tblStyle w:val="ListTable6Colorful1"/>
        <w:tblW w:w="5256" w:type="dxa"/>
        <w:shd w:val="clear" w:color="auto" w:fill="FFFFFF" w:themeFill="background1"/>
        <w:tblLayout w:type="fixed"/>
        <w:tblLook w:val="04A0" w:firstRow="1" w:lastRow="0" w:firstColumn="1" w:lastColumn="0" w:noHBand="0" w:noVBand="1"/>
      </w:tblPr>
      <w:tblGrid>
        <w:gridCol w:w="828"/>
        <w:gridCol w:w="3690"/>
        <w:gridCol w:w="738"/>
      </w:tblGrid>
      <w:tr w:rsidR="0082710F" w:rsidRPr="00A80D48" w:rsidTr="00827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FFFFFF" w:themeFill="background1"/>
          </w:tcPr>
          <w:p w:rsidR="000A2A1C" w:rsidRPr="00A80D48" w:rsidRDefault="000A2A1C" w:rsidP="00F92347">
            <w:pPr>
              <w:jc w:val="both"/>
              <w:rPr>
                <w:rFonts w:ascii="Times New Roman" w:hAnsi="Times New Roman" w:cs="Times New Roman"/>
                <w:b w:val="0"/>
                <w:bCs w:val="0"/>
                <w:sz w:val="14"/>
                <w:szCs w:val="24"/>
              </w:rPr>
            </w:pPr>
            <w:r w:rsidRPr="00A80D48">
              <w:rPr>
                <w:rFonts w:ascii="Times New Roman" w:hAnsi="Times New Roman" w:cs="Times New Roman"/>
                <w:b w:val="0"/>
                <w:sz w:val="14"/>
                <w:szCs w:val="24"/>
              </w:rPr>
              <w:t>Primers</w:t>
            </w:r>
          </w:p>
        </w:tc>
        <w:tc>
          <w:tcPr>
            <w:tcW w:w="3690" w:type="dxa"/>
            <w:shd w:val="clear" w:color="auto" w:fill="FFFFFF" w:themeFill="background1"/>
          </w:tcPr>
          <w:p w:rsidR="000A2A1C" w:rsidRPr="00A80D48" w:rsidRDefault="000A2A1C"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24"/>
              </w:rPr>
            </w:pPr>
            <w:r w:rsidRPr="00A80D48">
              <w:rPr>
                <w:rFonts w:ascii="Times New Roman" w:hAnsi="Times New Roman" w:cs="Times New Roman"/>
                <w:b w:val="0"/>
                <w:sz w:val="14"/>
                <w:szCs w:val="24"/>
              </w:rPr>
              <w:t>Sequences</w:t>
            </w:r>
          </w:p>
        </w:tc>
        <w:tc>
          <w:tcPr>
            <w:tcW w:w="738" w:type="dxa"/>
            <w:shd w:val="clear" w:color="auto" w:fill="FFFFFF" w:themeFill="background1"/>
          </w:tcPr>
          <w:p w:rsidR="000A2A1C" w:rsidRPr="00A80D48" w:rsidRDefault="000A2A1C" w:rsidP="008271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24"/>
              </w:rPr>
            </w:pPr>
            <w:r w:rsidRPr="00A80D48">
              <w:rPr>
                <w:rFonts w:ascii="Times New Roman" w:hAnsi="Times New Roman" w:cs="Times New Roman"/>
                <w:b w:val="0"/>
                <w:sz w:val="14"/>
                <w:szCs w:val="24"/>
              </w:rPr>
              <w:t>Primer pair</w:t>
            </w:r>
          </w:p>
        </w:tc>
      </w:tr>
      <w:tr w:rsidR="0082710F" w:rsidRPr="00A80D48" w:rsidTr="00827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FFFFFF" w:themeFill="background1"/>
          </w:tcPr>
          <w:p w:rsidR="000A2A1C" w:rsidRPr="00A80D48" w:rsidRDefault="000A2A1C" w:rsidP="00F92347">
            <w:pPr>
              <w:jc w:val="both"/>
              <w:rPr>
                <w:rFonts w:ascii="Times New Roman" w:hAnsi="Times New Roman" w:cs="Times New Roman"/>
                <w:b w:val="0"/>
                <w:sz w:val="14"/>
                <w:szCs w:val="24"/>
              </w:rPr>
            </w:pPr>
            <w:r w:rsidRPr="00A80D48">
              <w:rPr>
                <w:rFonts w:ascii="Times New Roman" w:hAnsi="Times New Roman" w:cs="Times New Roman"/>
                <w:b w:val="0"/>
                <w:sz w:val="14"/>
                <w:szCs w:val="24"/>
              </w:rPr>
              <w:t>S2</w:t>
            </w:r>
          </w:p>
          <w:p w:rsidR="000A2A1C" w:rsidRPr="00A80D48" w:rsidRDefault="000A2A1C" w:rsidP="00F92347">
            <w:pPr>
              <w:jc w:val="both"/>
              <w:rPr>
                <w:rFonts w:ascii="Times New Roman" w:hAnsi="Times New Roman" w:cs="Times New Roman"/>
                <w:b w:val="0"/>
                <w:bCs w:val="0"/>
                <w:sz w:val="14"/>
                <w:szCs w:val="24"/>
              </w:rPr>
            </w:pPr>
            <w:r w:rsidRPr="00A80D48">
              <w:rPr>
                <w:rFonts w:ascii="Times New Roman" w:hAnsi="Times New Roman" w:cs="Times New Roman"/>
                <w:b w:val="0"/>
                <w:bCs w:val="0"/>
                <w:sz w:val="14"/>
                <w:szCs w:val="24"/>
              </w:rPr>
              <w:t>S3</w:t>
            </w:r>
          </w:p>
          <w:p w:rsidR="000A2A1C" w:rsidRPr="00A80D48" w:rsidRDefault="000A2A1C" w:rsidP="00F92347">
            <w:pPr>
              <w:jc w:val="both"/>
              <w:rPr>
                <w:rFonts w:ascii="Times New Roman" w:hAnsi="Times New Roman" w:cs="Times New Roman"/>
                <w:b w:val="0"/>
                <w:bCs w:val="0"/>
                <w:sz w:val="14"/>
                <w:szCs w:val="24"/>
              </w:rPr>
            </w:pPr>
            <w:r w:rsidRPr="00A80D48">
              <w:rPr>
                <w:rFonts w:ascii="Times New Roman" w:hAnsi="Times New Roman" w:cs="Times New Roman"/>
                <w:b w:val="0"/>
                <w:bCs w:val="0"/>
                <w:sz w:val="14"/>
                <w:szCs w:val="24"/>
              </w:rPr>
              <w:t>S1</w:t>
            </w:r>
          </w:p>
          <w:p w:rsidR="000A2A1C" w:rsidRPr="00A80D48" w:rsidRDefault="000A2A1C" w:rsidP="00F92347">
            <w:pPr>
              <w:jc w:val="both"/>
              <w:rPr>
                <w:rFonts w:ascii="Times New Roman" w:hAnsi="Times New Roman" w:cs="Times New Roman"/>
                <w:b w:val="0"/>
                <w:bCs w:val="0"/>
                <w:sz w:val="14"/>
                <w:szCs w:val="24"/>
              </w:rPr>
            </w:pPr>
            <w:r w:rsidRPr="00A80D48">
              <w:rPr>
                <w:rFonts w:ascii="Times New Roman" w:hAnsi="Times New Roman" w:cs="Times New Roman"/>
                <w:b w:val="0"/>
                <w:bCs w:val="0"/>
                <w:sz w:val="14"/>
                <w:szCs w:val="24"/>
              </w:rPr>
              <w:t>S4</w:t>
            </w:r>
          </w:p>
        </w:tc>
        <w:tc>
          <w:tcPr>
            <w:tcW w:w="3690" w:type="dxa"/>
            <w:shd w:val="clear" w:color="auto" w:fill="FFFFFF" w:themeFill="background1"/>
          </w:tcPr>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4"/>
                <w:szCs w:val="24"/>
              </w:rPr>
            </w:pPr>
            <w:r w:rsidRPr="00A80D48">
              <w:rPr>
                <w:rFonts w:ascii="Times New Roman" w:hAnsi="Times New Roman" w:cs="Times New Roman"/>
                <w:bCs/>
                <w:sz w:val="14"/>
                <w:szCs w:val="24"/>
              </w:rPr>
              <w:t>5ˈ- GAA GGT AAT TAA AAC ATT GTC- 3ˈ(sense)</w:t>
            </w:r>
          </w:p>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4"/>
                <w:szCs w:val="24"/>
              </w:rPr>
            </w:pPr>
            <w:r w:rsidRPr="00A80D48">
              <w:rPr>
                <w:rFonts w:ascii="Times New Roman" w:hAnsi="Times New Roman" w:cs="Times New Roman"/>
                <w:bCs/>
                <w:sz w:val="14"/>
                <w:szCs w:val="24"/>
              </w:rPr>
              <w:t xml:space="preserve">5ˈ- GAG GGA TGT TGC </w:t>
            </w:r>
            <w:proofErr w:type="spellStart"/>
            <w:r w:rsidRPr="00A80D48">
              <w:rPr>
                <w:rFonts w:ascii="Times New Roman" w:hAnsi="Times New Roman" w:cs="Times New Roman"/>
                <w:bCs/>
                <w:sz w:val="14"/>
                <w:szCs w:val="24"/>
              </w:rPr>
              <w:t>TGC</w:t>
            </w:r>
            <w:proofErr w:type="spellEnd"/>
            <w:r w:rsidRPr="00A80D48">
              <w:rPr>
                <w:rFonts w:ascii="Times New Roman" w:hAnsi="Times New Roman" w:cs="Times New Roman"/>
                <w:bCs/>
                <w:sz w:val="14"/>
                <w:szCs w:val="24"/>
              </w:rPr>
              <w:t xml:space="preserve"> TCC ACA- 3ˈ(antisense)            </w:t>
            </w:r>
          </w:p>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A80D48">
              <w:rPr>
                <w:rFonts w:ascii="Times New Roman" w:hAnsi="Times New Roman" w:cs="Times New Roman"/>
                <w:sz w:val="14"/>
                <w:szCs w:val="24"/>
              </w:rPr>
              <w:t>5ˈ- GAG TAT AAG GAG AAG TAT G -3ˈ (sense)</w:t>
            </w:r>
          </w:p>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4"/>
                <w:szCs w:val="24"/>
              </w:rPr>
            </w:pPr>
            <w:r w:rsidRPr="00A80D48">
              <w:rPr>
                <w:rFonts w:ascii="Times New Roman" w:hAnsi="Times New Roman" w:cs="Times New Roman"/>
                <w:sz w:val="14"/>
                <w:szCs w:val="24"/>
              </w:rPr>
              <w:t>5ˈ -CTA GAA CCA TGC ATA TGT CC-3 (antisense)</w:t>
            </w:r>
            <w:r w:rsidRPr="00A80D48">
              <w:rPr>
                <w:rFonts w:ascii="Times New Roman" w:hAnsi="Times New Roman" w:cs="Times New Roman"/>
                <w:bCs/>
                <w:sz w:val="14"/>
                <w:szCs w:val="24"/>
              </w:rPr>
              <w:t xml:space="preserve">        </w:t>
            </w:r>
          </w:p>
        </w:tc>
        <w:tc>
          <w:tcPr>
            <w:tcW w:w="738" w:type="dxa"/>
            <w:shd w:val="clear" w:color="auto" w:fill="FFFFFF" w:themeFill="background1"/>
          </w:tcPr>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4"/>
                <w:szCs w:val="24"/>
              </w:rPr>
            </w:pPr>
            <w:r w:rsidRPr="00A80D48">
              <w:rPr>
                <w:rFonts w:ascii="Times New Roman" w:hAnsi="Times New Roman" w:cs="Times New Roman"/>
                <w:bCs/>
                <w:sz w:val="14"/>
                <w:szCs w:val="24"/>
              </w:rPr>
              <w:t>S2/S3</w:t>
            </w:r>
          </w:p>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4"/>
                <w:szCs w:val="24"/>
              </w:rPr>
            </w:pPr>
          </w:p>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4"/>
                <w:szCs w:val="24"/>
              </w:rPr>
            </w:pPr>
          </w:p>
          <w:p w:rsidR="000A2A1C" w:rsidRPr="00A80D48" w:rsidRDefault="000A2A1C" w:rsidP="00F923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4"/>
                <w:szCs w:val="24"/>
              </w:rPr>
            </w:pPr>
            <w:r w:rsidRPr="00A80D48">
              <w:rPr>
                <w:rFonts w:ascii="Times New Roman" w:hAnsi="Times New Roman" w:cs="Times New Roman"/>
                <w:sz w:val="14"/>
                <w:szCs w:val="24"/>
              </w:rPr>
              <w:t>S1/S4</w:t>
            </w:r>
          </w:p>
        </w:tc>
      </w:tr>
    </w:tbl>
    <w:p w:rsidR="005F0B71" w:rsidRDefault="00DF66F5">
      <w:pPr>
        <w:pStyle w:val="Heading1"/>
        <w:numPr>
          <w:ilvl w:val="0"/>
          <w:numId w:val="5"/>
        </w:numPr>
        <w:spacing w:before="480"/>
        <w:rPr>
          <w:bCs/>
          <w:szCs w:val="24"/>
        </w:rPr>
      </w:pPr>
      <w:r w:rsidRPr="00DF66F5">
        <w:rPr>
          <w:bCs/>
          <w:szCs w:val="24"/>
        </w:rPr>
        <w:t>Results and Discussion</w:t>
      </w:r>
    </w:p>
    <w:p w:rsidR="00DF66F5" w:rsidRPr="00D9338C" w:rsidRDefault="00DF66F5" w:rsidP="00B64217">
      <w:pPr>
        <w:pStyle w:val="ListParagraph"/>
        <w:numPr>
          <w:ilvl w:val="1"/>
          <w:numId w:val="5"/>
        </w:numPr>
        <w:spacing w:after="0"/>
        <w:rPr>
          <w:rFonts w:ascii="Times New Roman" w:hAnsi="Times New Roman" w:cs="Times New Roman"/>
          <w:i/>
          <w:sz w:val="14"/>
        </w:rPr>
      </w:pPr>
      <w:r w:rsidRPr="00D9338C">
        <w:rPr>
          <w:rFonts w:ascii="Times New Roman" w:hAnsi="Times New Roman" w:cs="Times New Roman"/>
          <w:i/>
          <w:sz w:val="20"/>
          <w:szCs w:val="24"/>
        </w:rPr>
        <w:t>Clinical and Parasitological Findings of the Subjects</w:t>
      </w:r>
    </w:p>
    <w:p w:rsidR="005F0B71" w:rsidRDefault="00DF66F5">
      <w:pPr>
        <w:widowControl w:val="0"/>
        <w:pBdr>
          <w:top w:val="nil"/>
          <w:left w:val="nil"/>
          <w:bottom w:val="nil"/>
          <w:right w:val="nil"/>
          <w:between w:val="nil"/>
        </w:pBdr>
        <w:spacing w:line="252" w:lineRule="auto"/>
        <w:ind w:firstLine="202"/>
        <w:jc w:val="both"/>
        <w:rPr>
          <w:szCs w:val="24"/>
        </w:rPr>
      </w:pPr>
      <w:r w:rsidRPr="00DF66F5">
        <w:rPr>
          <w:szCs w:val="24"/>
        </w:rPr>
        <w:t xml:space="preserve">Clinical and parasitological outcomes of the subjects revealed that of 239 malaria positive subjects, 224 were enrolled in the 28 days follow-up. Following simple randomization, 73 and 78 subjects were treated with A-L, A-A and D-P, respectively. The mean age of subjects treated with A-L, A-A and D-P was 24.7±10.6, 26.4±8.3 and 23.5±11.4 years, respectively. However, duration of fever was 2.16, 2.30 and 2.04 days, while mean axillary temperature was </w:t>
      </w:r>
      <w:r w:rsidR="00584213">
        <w:rPr>
          <w:szCs w:val="24"/>
        </w:rPr>
        <w:t>38.1±0.5, 38.2±0.6 and 38.0±0.3</w:t>
      </w:r>
      <w:r w:rsidRPr="00DF66F5">
        <w:rPr>
          <w:szCs w:val="24"/>
          <w:vertAlign w:val="superscript"/>
        </w:rPr>
        <w:t>o</w:t>
      </w:r>
      <w:r w:rsidRPr="00DF66F5">
        <w:rPr>
          <w:szCs w:val="24"/>
        </w:rPr>
        <w:t>C for subjects treated with A-L, A-A and D-P, respectively. Mean parasite density of subjects treated with A-L, A-A and D-P was 15427±4894, 17060±5650 and 15111±4634 per microliter, respectively. The mean age, mean duration of fever and the mean axillary body temperature across the treatment groups shows no significant difference at p&lt;0.05.</w:t>
      </w:r>
    </w:p>
    <w:p w:rsidR="00D9338C" w:rsidRPr="000B1FC4" w:rsidRDefault="00D9338C" w:rsidP="000B1FC4">
      <w:pPr>
        <w:jc w:val="both"/>
        <w:rPr>
          <w:sz w:val="14"/>
          <w:szCs w:val="16"/>
        </w:rPr>
      </w:pPr>
    </w:p>
    <w:p w:rsidR="00D9338C" w:rsidRPr="00D9338C" w:rsidRDefault="00D9338C" w:rsidP="00D9338C">
      <w:pPr>
        <w:pStyle w:val="ListParagraph"/>
        <w:numPr>
          <w:ilvl w:val="1"/>
          <w:numId w:val="5"/>
        </w:numPr>
        <w:spacing w:after="0"/>
        <w:rPr>
          <w:rFonts w:ascii="Times New Roman" w:hAnsi="Times New Roman" w:cs="Times New Roman"/>
          <w:i/>
          <w:sz w:val="10"/>
        </w:rPr>
      </w:pPr>
      <w:r w:rsidRPr="00D9338C">
        <w:rPr>
          <w:rFonts w:ascii="Times New Roman" w:hAnsi="Times New Roman" w:cs="Times New Roman"/>
          <w:i/>
          <w:sz w:val="20"/>
          <w:szCs w:val="24"/>
        </w:rPr>
        <w:t>Treatment Outcomes of Plasmodium falciparum Malaria to ACTs in MMSH, Kano</w:t>
      </w:r>
    </w:p>
    <w:p w:rsidR="00D9338C" w:rsidRDefault="00D9338C" w:rsidP="00D9338C">
      <w:pPr>
        <w:widowControl w:val="0"/>
        <w:pBdr>
          <w:top w:val="nil"/>
          <w:left w:val="nil"/>
          <w:bottom w:val="nil"/>
          <w:right w:val="nil"/>
          <w:between w:val="nil"/>
        </w:pBdr>
        <w:spacing w:line="252" w:lineRule="auto"/>
        <w:ind w:firstLine="202"/>
        <w:jc w:val="both"/>
        <w:rPr>
          <w:szCs w:val="24"/>
        </w:rPr>
      </w:pPr>
      <w:r w:rsidRPr="00D9338C">
        <w:rPr>
          <w:szCs w:val="24"/>
        </w:rPr>
        <w:t xml:space="preserve">The treatment groups indicated that, out of the 61, 63 and 70 patients treated with A-L, A-A and D-P respectively, 13(21.3%), 15(25.0%) and 10(14.3%), respectively,  were the </w:t>
      </w:r>
      <w:r w:rsidRPr="00D9338C">
        <w:rPr>
          <w:szCs w:val="24"/>
        </w:rPr>
        <w:lastRenderedPageBreak/>
        <w:t>early treatment failure observed in subjects, though not significantly differed (p &lt; 0.05). Late parasitological failure (LPF) were found to be 6(9.8%) for A-L, 8(13.3%) for A-A and 4(5.7%) for D-P.</w:t>
      </w:r>
      <w:r w:rsidRPr="00D9338C">
        <w:rPr>
          <w:b/>
          <w:szCs w:val="24"/>
        </w:rPr>
        <w:t xml:space="preserve"> </w:t>
      </w:r>
      <w:r w:rsidRPr="00D9338C">
        <w:rPr>
          <w:szCs w:val="24"/>
        </w:rPr>
        <w:t>However, 42(68.9%) subjects treated with A-L ACPR, 37(61.7%) subjects treated with A-A have ACPR, while 56(80.0%) subjects treated with D-P shows ACPR with highest efficacy (80%; p&lt;0.05) (Table 3).</w:t>
      </w:r>
    </w:p>
    <w:p w:rsidR="005D0F4B" w:rsidRPr="005D0F4B" w:rsidRDefault="005D0F4B" w:rsidP="005D0F4B">
      <w:pPr>
        <w:pStyle w:val="ListParagraph"/>
        <w:numPr>
          <w:ilvl w:val="1"/>
          <w:numId w:val="5"/>
        </w:numPr>
        <w:spacing w:after="0"/>
        <w:rPr>
          <w:rFonts w:ascii="Times New Roman" w:hAnsi="Times New Roman" w:cs="Times New Roman"/>
          <w:i/>
          <w:sz w:val="6"/>
        </w:rPr>
      </w:pPr>
      <w:r w:rsidRPr="005D0F4B">
        <w:rPr>
          <w:rFonts w:ascii="Times New Roman" w:hAnsi="Times New Roman" w:cs="Times New Roman"/>
          <w:i/>
          <w:sz w:val="20"/>
          <w:szCs w:val="24"/>
        </w:rPr>
        <w:t>Recrudescence and Reinfection among Patients with Treatment Failure in MMSH, Kano</w:t>
      </w:r>
      <w:r w:rsidRPr="005D0F4B">
        <w:rPr>
          <w:rFonts w:ascii="Times New Roman" w:hAnsi="Times New Roman" w:cs="Times New Roman"/>
          <w:i/>
          <w:sz w:val="16"/>
          <w:szCs w:val="24"/>
        </w:rPr>
        <w:t xml:space="preserve"> </w:t>
      </w:r>
    </w:p>
    <w:p w:rsidR="005D0F4B" w:rsidRPr="00D8099D" w:rsidRDefault="005D0F4B" w:rsidP="005D0F4B">
      <w:pPr>
        <w:widowControl w:val="0"/>
        <w:pBdr>
          <w:top w:val="nil"/>
          <w:left w:val="nil"/>
          <w:bottom w:val="nil"/>
          <w:right w:val="nil"/>
          <w:between w:val="nil"/>
        </w:pBdr>
        <w:spacing w:line="252" w:lineRule="auto"/>
        <w:ind w:firstLine="202"/>
        <w:jc w:val="both"/>
      </w:pPr>
      <w:r w:rsidRPr="00D8099D">
        <w:t>The results revealed that, out of 6 subjects with LPF among subjects treated with A-L, 3 were due to reinfection while 3 were due to recrudescence, indicating likelihood of reinfection during the 4 weeks follow-up. Similarly, out of 8 subjects with LPF who were treated with A-A; 3 were due to reinfection while 5 were recrudescence. Furthermore, out of 4 subjects with LPF who were treated with D-P; 2 were due to reinfection while 2 were due to recrudescence.  Overall, corrected LPF of 4.9, 8.3 and 2.9% for A-L, A-A and D-P, respectively, was observed. The cure rate of the three ACTs were 97.1, 95.1 and 91.7% for D-P, A-L and A-A, respectively (Table 4).</w:t>
      </w:r>
    </w:p>
    <w:p w:rsidR="00D8099D" w:rsidRPr="00D8099D" w:rsidRDefault="00D8099D" w:rsidP="00D8099D">
      <w:pPr>
        <w:jc w:val="both"/>
      </w:pPr>
      <w:r w:rsidRPr="00D8099D">
        <w:t>The proportion of patients with treatment failure differed between the three ACTs studied, although treatment failures may not be associated with patient age and initial parasite density. This agrees with the fact that, malaria patient characteristics are not related to the treatment outcomes but linked to mutation in Kelch13 gene</w:t>
      </w:r>
      <w:r w:rsidR="00806F35">
        <w:t xml:space="preserve"> </w:t>
      </w:r>
      <w:r w:rsidR="00806F35" w:rsidRPr="00806F35">
        <w:t>(</w:t>
      </w:r>
      <w:proofErr w:type="spellStart"/>
      <w:r w:rsidR="00806F35" w:rsidRPr="00806F35">
        <w:rPr>
          <w:noProof/>
        </w:rPr>
        <w:t>Amaratunga</w:t>
      </w:r>
      <w:proofErr w:type="spellEnd"/>
      <w:r w:rsidR="00806F35" w:rsidRPr="00806F35">
        <w:rPr>
          <w:noProof/>
        </w:rPr>
        <w:t xml:space="preserve"> </w:t>
      </w:r>
      <w:r w:rsidR="00806F35" w:rsidRPr="00806F35">
        <w:rPr>
          <w:i/>
          <w:noProof/>
        </w:rPr>
        <w:t>et al</w:t>
      </w:r>
      <w:r w:rsidR="00806F35" w:rsidRPr="00806F35">
        <w:rPr>
          <w:noProof/>
        </w:rPr>
        <w:t>., 2017</w:t>
      </w:r>
      <w:r w:rsidR="00806F35" w:rsidRPr="00806F35">
        <w:t>)</w:t>
      </w:r>
      <w:r w:rsidRPr="00D8099D">
        <w:t>. The fact that, A-L and D-P achieved &lt; 5% total failure rate, and A-</w:t>
      </w:r>
      <w:proofErr w:type="gramStart"/>
      <w:r w:rsidRPr="00D8099D">
        <w:t>A</w:t>
      </w:r>
      <w:proofErr w:type="gramEnd"/>
      <w:r w:rsidRPr="00D8099D">
        <w:t xml:space="preserve"> achieved &lt; 10% failure rate, indicated that both ACTs demonstrated efficacy in the treatment of uncomplicated malaria. However, it may also be an indication that, </w:t>
      </w:r>
      <w:r w:rsidRPr="00D8099D">
        <w:rPr>
          <w:i/>
        </w:rPr>
        <w:t xml:space="preserve">P. falciparum </w:t>
      </w:r>
      <w:r w:rsidRPr="00D8099D">
        <w:t xml:space="preserve"> had significantly reduced susceptibility to ACTs compared to the study conducted in India</w:t>
      </w:r>
      <w:r w:rsidR="00806F35">
        <w:t xml:space="preserve"> </w:t>
      </w:r>
      <w:r w:rsidR="00806F35" w:rsidRPr="00806F35">
        <w:rPr>
          <w:sz w:val="16"/>
        </w:rPr>
        <w:t>(</w:t>
      </w:r>
      <w:proofErr w:type="spellStart"/>
      <w:r w:rsidR="00806F35" w:rsidRPr="00806F35">
        <w:rPr>
          <w:noProof/>
          <w:szCs w:val="24"/>
        </w:rPr>
        <w:t>Sweta</w:t>
      </w:r>
      <w:proofErr w:type="spellEnd"/>
      <w:r w:rsidR="00806F35" w:rsidRPr="00806F35">
        <w:rPr>
          <w:noProof/>
          <w:szCs w:val="24"/>
        </w:rPr>
        <w:t xml:space="preserve"> </w:t>
      </w:r>
      <w:r w:rsidR="00806F35" w:rsidRPr="00806F35">
        <w:rPr>
          <w:i/>
          <w:noProof/>
          <w:szCs w:val="24"/>
        </w:rPr>
        <w:t>et al</w:t>
      </w:r>
      <w:r w:rsidR="00806F35" w:rsidRPr="00806F35">
        <w:rPr>
          <w:noProof/>
          <w:szCs w:val="24"/>
        </w:rPr>
        <w:t>., 2017)</w:t>
      </w:r>
      <w:r w:rsidR="00806F35">
        <w:t xml:space="preserve"> </w:t>
      </w:r>
      <w:r w:rsidRPr="00D8099D">
        <w:t xml:space="preserve">who reported 0% and 4% failure rate from D-P and A-L, respectively. This result is also in consistent </w:t>
      </w:r>
      <w:r w:rsidR="009E3A76">
        <w:t>to the</w:t>
      </w:r>
      <w:r w:rsidRPr="00D8099D">
        <w:t xml:space="preserve"> report of possible ACTs resistance in </w:t>
      </w:r>
      <w:proofErr w:type="spellStart"/>
      <w:r w:rsidRPr="00D8099D">
        <w:t>Abakaliki</w:t>
      </w:r>
      <w:proofErr w:type="spellEnd"/>
      <w:r w:rsidRPr="00D8099D">
        <w:t xml:space="preserve">, </w:t>
      </w:r>
      <w:proofErr w:type="spellStart"/>
      <w:r w:rsidRPr="00D8099D">
        <w:t>Ebonyi</w:t>
      </w:r>
      <w:proofErr w:type="spellEnd"/>
      <w:r w:rsidRPr="00D8099D">
        <w:t xml:space="preserve"> State-</w:t>
      </w:r>
      <w:r w:rsidRPr="009D698A">
        <w:t>Nig</w:t>
      </w:r>
      <w:r w:rsidR="009D698A" w:rsidRPr="009D698A">
        <w:t>eria (</w:t>
      </w:r>
      <w:proofErr w:type="spellStart"/>
      <w:r w:rsidR="009D698A">
        <w:rPr>
          <w:noProof/>
        </w:rPr>
        <w:t>Ajayi</w:t>
      </w:r>
      <w:proofErr w:type="spellEnd"/>
      <w:r w:rsidR="009D698A">
        <w:rPr>
          <w:noProof/>
        </w:rPr>
        <w:t xml:space="preserve"> and </w:t>
      </w:r>
      <w:r w:rsidR="009D698A" w:rsidRPr="009D698A">
        <w:rPr>
          <w:noProof/>
        </w:rPr>
        <w:t>Ukwaja, 2013</w:t>
      </w:r>
      <w:r w:rsidR="009D698A" w:rsidRPr="009D698A">
        <w:t>)</w:t>
      </w:r>
      <w:r w:rsidRPr="009D698A">
        <w:t>.</w:t>
      </w:r>
    </w:p>
    <w:p w:rsidR="00D8099D" w:rsidRPr="00D8099D" w:rsidRDefault="00D8099D" w:rsidP="00D8099D">
      <w:pPr>
        <w:jc w:val="both"/>
      </w:pPr>
      <w:r w:rsidRPr="00D8099D">
        <w:t>Although failure rate of the studied ACTs is &lt; 10%, detection of treatment failure to these drugs is still a threat to public health. The treatment failure rate observed with A-L (4.9%) is similar to the failure rate reported in Tanzania</w:t>
      </w:r>
      <w:r w:rsidR="00966E3D">
        <w:t xml:space="preserve">, 5.2%, </w:t>
      </w:r>
      <w:r w:rsidR="009E3A76" w:rsidRPr="002C7555">
        <w:t>(</w:t>
      </w:r>
      <w:proofErr w:type="spellStart"/>
      <w:r w:rsidR="002C7555" w:rsidRPr="002C7555">
        <w:rPr>
          <w:noProof/>
        </w:rPr>
        <w:t>Mutabingwa</w:t>
      </w:r>
      <w:proofErr w:type="spellEnd"/>
      <w:r w:rsidR="002C7555" w:rsidRPr="002C7555">
        <w:rPr>
          <w:noProof/>
        </w:rPr>
        <w:t xml:space="preserve"> </w:t>
      </w:r>
      <w:r w:rsidR="002C7555" w:rsidRPr="002C7555">
        <w:rPr>
          <w:i/>
          <w:noProof/>
        </w:rPr>
        <w:t>et al</w:t>
      </w:r>
      <w:r w:rsidR="002C7555" w:rsidRPr="002C7555">
        <w:rPr>
          <w:noProof/>
        </w:rPr>
        <w:t>., 2005</w:t>
      </w:r>
      <w:r w:rsidR="009E3A76" w:rsidRPr="002C7555">
        <w:t>)</w:t>
      </w:r>
      <w:r w:rsidR="000D0031">
        <w:t xml:space="preserve"> </w:t>
      </w:r>
      <w:r w:rsidRPr="00D8099D">
        <w:t xml:space="preserve">which could be related to the significant reduction to the efficacy of A-L. The rate of treatment failure in the clinical efficacy of A-L is relatively low compared to 7% failure rate </w:t>
      </w:r>
      <w:r w:rsidR="008F065A">
        <w:t>reported in Western Nigeria (</w:t>
      </w:r>
      <w:proofErr w:type="spellStart"/>
      <w:r w:rsidR="008F065A">
        <w:t>Happi</w:t>
      </w:r>
      <w:proofErr w:type="spellEnd"/>
      <w:r w:rsidR="008F065A">
        <w:t xml:space="preserve"> </w:t>
      </w:r>
      <w:r w:rsidR="008F065A">
        <w:rPr>
          <w:i/>
        </w:rPr>
        <w:t>et al.</w:t>
      </w:r>
      <w:r w:rsidR="00895FA2">
        <w:t>, 2008</w:t>
      </w:r>
      <w:r w:rsidR="008F065A">
        <w:t>)</w:t>
      </w:r>
      <w:r w:rsidRPr="00D8099D">
        <w:t xml:space="preserve">. This variation may be attributed to the difference in A-L used probably due to the different sources of A-L used for the study. Conversely, the failure rate observed with A–A is lower than that reported in Tanzania (11.2%) during 28 days follow-up </w:t>
      </w:r>
      <w:r w:rsidR="004D3329" w:rsidRPr="004D3329">
        <w:t>(</w:t>
      </w:r>
      <w:proofErr w:type="spellStart"/>
      <w:r w:rsidR="004D3329" w:rsidRPr="004D3329">
        <w:rPr>
          <w:noProof/>
        </w:rPr>
        <w:t>Mutabingwa</w:t>
      </w:r>
      <w:proofErr w:type="spellEnd"/>
      <w:r w:rsidR="004D3329" w:rsidRPr="004D3329">
        <w:rPr>
          <w:noProof/>
        </w:rPr>
        <w:t xml:space="preserve"> </w:t>
      </w:r>
      <w:r w:rsidR="004D3329" w:rsidRPr="004D3329">
        <w:rPr>
          <w:i/>
          <w:noProof/>
        </w:rPr>
        <w:t>et al</w:t>
      </w:r>
      <w:r w:rsidR="004D3329" w:rsidRPr="004D3329">
        <w:rPr>
          <w:noProof/>
        </w:rPr>
        <w:t>., 2005</w:t>
      </w:r>
      <w:r w:rsidR="004D3329" w:rsidRPr="004D3329">
        <w:t>)</w:t>
      </w:r>
      <w:r w:rsidRPr="00D8099D">
        <w:t>, and higher than 4.6% reported in Kampala (Uganda)</w:t>
      </w:r>
      <w:r w:rsidR="004D3329">
        <w:t xml:space="preserve"> </w:t>
      </w:r>
      <w:r w:rsidR="004D3329" w:rsidRPr="004D3329">
        <w:t>(</w:t>
      </w:r>
      <w:r w:rsidR="004D3329" w:rsidRPr="004D3329">
        <w:rPr>
          <w:noProof/>
        </w:rPr>
        <w:t xml:space="preserve">Dorsey </w:t>
      </w:r>
      <w:r w:rsidR="004D3329" w:rsidRPr="004D3329">
        <w:rPr>
          <w:i/>
          <w:noProof/>
        </w:rPr>
        <w:t>et al</w:t>
      </w:r>
      <w:r w:rsidR="004D3329" w:rsidRPr="004D3329">
        <w:rPr>
          <w:noProof/>
        </w:rPr>
        <w:t>., 2007</w:t>
      </w:r>
      <w:r w:rsidR="004D3329">
        <w:t>)</w:t>
      </w:r>
      <w:r w:rsidR="003E0427">
        <w:t>. E</w:t>
      </w:r>
      <w:r w:rsidRPr="00D8099D">
        <w:t>fficacy of A-</w:t>
      </w:r>
      <w:proofErr w:type="gramStart"/>
      <w:r w:rsidRPr="00D8099D">
        <w:t>A</w:t>
      </w:r>
      <w:proofErr w:type="gramEnd"/>
      <w:r w:rsidRPr="00D8099D">
        <w:t xml:space="preserve"> in MMSH has drastically reduced when compared with the reports of failure rates reported in </w:t>
      </w:r>
      <w:proofErr w:type="spellStart"/>
      <w:r w:rsidRPr="00D8099D">
        <w:t>Tororo</w:t>
      </w:r>
      <w:proofErr w:type="spellEnd"/>
      <w:r w:rsidRPr="00D8099D">
        <w:t xml:space="preserve"> (Uganda)</w:t>
      </w:r>
      <w:r w:rsidR="001E097E">
        <w:t xml:space="preserve"> </w:t>
      </w:r>
      <w:r w:rsidR="001E097E" w:rsidRPr="001E097E">
        <w:t>(</w:t>
      </w:r>
      <w:proofErr w:type="spellStart"/>
      <w:r w:rsidR="001E097E" w:rsidRPr="001E097E">
        <w:rPr>
          <w:noProof/>
        </w:rPr>
        <w:t>Burkirwa</w:t>
      </w:r>
      <w:proofErr w:type="spellEnd"/>
      <w:r w:rsidR="001E097E" w:rsidRPr="001E097E">
        <w:rPr>
          <w:noProof/>
        </w:rPr>
        <w:t xml:space="preserve"> </w:t>
      </w:r>
      <w:r w:rsidR="001E097E" w:rsidRPr="001E097E">
        <w:rPr>
          <w:i/>
          <w:noProof/>
        </w:rPr>
        <w:t>et al</w:t>
      </w:r>
      <w:r w:rsidR="001E097E" w:rsidRPr="001E097E">
        <w:rPr>
          <w:noProof/>
        </w:rPr>
        <w:t>., 2006</w:t>
      </w:r>
      <w:r w:rsidR="001E097E">
        <w:t>)</w:t>
      </w:r>
      <w:r w:rsidRPr="00D8099D">
        <w:t xml:space="preserve"> and Tanzania </w:t>
      </w:r>
      <w:r w:rsidR="001E097E" w:rsidRPr="001E097E">
        <w:t>(</w:t>
      </w:r>
      <w:proofErr w:type="spellStart"/>
      <w:r w:rsidR="001E097E" w:rsidRPr="001E097E">
        <w:rPr>
          <w:noProof/>
        </w:rPr>
        <w:t>Martensson</w:t>
      </w:r>
      <w:proofErr w:type="spellEnd"/>
      <w:r w:rsidR="001E097E" w:rsidRPr="001E097E">
        <w:rPr>
          <w:noProof/>
        </w:rPr>
        <w:t xml:space="preserve"> </w:t>
      </w:r>
      <w:r w:rsidR="001E097E" w:rsidRPr="001E097E">
        <w:rPr>
          <w:i/>
          <w:noProof/>
        </w:rPr>
        <w:t>et al</w:t>
      </w:r>
      <w:r w:rsidR="001E097E" w:rsidRPr="001E097E">
        <w:rPr>
          <w:noProof/>
        </w:rPr>
        <w:t>., 2005</w:t>
      </w:r>
      <w:r w:rsidR="001E097E">
        <w:t>)</w:t>
      </w:r>
      <w:r w:rsidRPr="00D8099D">
        <w:t>.</w:t>
      </w:r>
    </w:p>
    <w:p w:rsidR="00D8099D" w:rsidRPr="00D8099D" w:rsidRDefault="00D8099D" w:rsidP="00D8099D">
      <w:pPr>
        <w:jc w:val="both"/>
      </w:pPr>
      <w:r w:rsidRPr="00D8099D">
        <w:t xml:space="preserve">Risk of recrudescence or reinfection was significantly seen to be higher in A-A (13.3%) than A-L (9.8%) and D-P (5.7%). </w:t>
      </w:r>
      <w:r w:rsidRPr="00D8099D">
        <w:lastRenderedPageBreak/>
        <w:t>The higher cure rate of A-L (95.1%) compared to A-A (91.7%) indicates that A-L is more effective than A-, though the efficacy of A-L is reducing from the expected 100% for all ACTs. Similarly, the higher cure rate of D-P (97.2%) for uncomplicated malaria is in line with the reports of 98.2% cure rates in Cambodia-Thailand</w:t>
      </w:r>
      <w:r w:rsidR="004B5F39">
        <w:t xml:space="preserve"> </w:t>
      </w:r>
      <w:r w:rsidR="004B5F39" w:rsidRPr="004B5F39">
        <w:t>(</w:t>
      </w:r>
      <w:r w:rsidR="004B5F39" w:rsidRPr="004B5F39">
        <w:rPr>
          <w:noProof/>
        </w:rPr>
        <w:t xml:space="preserve">Song </w:t>
      </w:r>
      <w:r w:rsidR="004B5F39" w:rsidRPr="004B5F39">
        <w:rPr>
          <w:i/>
          <w:noProof/>
        </w:rPr>
        <w:t>et al</w:t>
      </w:r>
      <w:r w:rsidR="004B5F39" w:rsidRPr="004B5F39">
        <w:rPr>
          <w:noProof/>
        </w:rPr>
        <w:t>., 2011</w:t>
      </w:r>
      <w:r w:rsidR="004B5F39">
        <w:t>)</w:t>
      </w:r>
      <w:r w:rsidRPr="00D8099D">
        <w:t xml:space="preserve">, but higher than the cure rate reported for </w:t>
      </w:r>
      <w:proofErr w:type="spellStart"/>
      <w:r w:rsidRPr="00D8099D">
        <w:t>Pursat</w:t>
      </w:r>
      <w:proofErr w:type="spellEnd"/>
      <w:r w:rsidRPr="00D8099D">
        <w:t xml:space="preserve"> province (63%) where artemisinin resistance is entrenched </w:t>
      </w:r>
      <w:r w:rsidR="004B5F39" w:rsidRPr="004B5F39">
        <w:t>(</w:t>
      </w:r>
      <w:proofErr w:type="spellStart"/>
      <w:r w:rsidR="004B5F39" w:rsidRPr="004B5F39">
        <w:rPr>
          <w:noProof/>
        </w:rPr>
        <w:t>Amaratunga</w:t>
      </w:r>
      <w:proofErr w:type="spellEnd"/>
      <w:r w:rsidR="004B5F39" w:rsidRPr="004B5F39">
        <w:rPr>
          <w:noProof/>
        </w:rPr>
        <w:t xml:space="preserve"> </w:t>
      </w:r>
      <w:r w:rsidR="004B5F39" w:rsidRPr="004B5F39">
        <w:rPr>
          <w:i/>
          <w:noProof/>
        </w:rPr>
        <w:t>et al</w:t>
      </w:r>
      <w:r w:rsidR="004B5F39" w:rsidRPr="004B5F39">
        <w:rPr>
          <w:noProof/>
        </w:rPr>
        <w:t>., 2017</w:t>
      </w:r>
      <w:r w:rsidR="004B5F39">
        <w:t>)</w:t>
      </w:r>
      <w:r w:rsidRPr="00D8099D">
        <w:t>.</w:t>
      </w:r>
    </w:p>
    <w:p w:rsidR="00A359DE" w:rsidRDefault="00D8099D" w:rsidP="00E940A5">
      <w:pPr>
        <w:widowControl w:val="0"/>
        <w:pBdr>
          <w:top w:val="nil"/>
          <w:left w:val="nil"/>
          <w:bottom w:val="nil"/>
          <w:right w:val="nil"/>
          <w:between w:val="nil"/>
        </w:pBdr>
        <w:spacing w:line="252" w:lineRule="auto"/>
        <w:ind w:firstLine="202"/>
        <w:jc w:val="both"/>
      </w:pPr>
      <w:proofErr w:type="spellStart"/>
      <w:r w:rsidRPr="00D8099D">
        <w:t>Dihydroartemisinin</w:t>
      </w:r>
      <w:proofErr w:type="spellEnd"/>
      <w:r w:rsidRPr="00D8099D">
        <w:t>-Piperaquine shows higher effectiveness (97.1%) between all the drugs used for this study. This is an indication that D-P is more efficacious than the tested drugs which may be attributed to the fact that A-L and A-</w:t>
      </w:r>
      <w:proofErr w:type="gramStart"/>
      <w:r w:rsidRPr="00D8099D">
        <w:t>A</w:t>
      </w:r>
      <w:proofErr w:type="gramEnd"/>
      <w:r w:rsidRPr="00D8099D">
        <w:t xml:space="preserve"> are more procured over the counter in Nigeria than D-P because of its cost. However, failure to clear malaria parasites might not necessarily be as a result of drug resistance as not all cases of treatment failure is a function of drug resistance. Factors which could also contribute to malaria treatment failure in Kano State may include drug abuse, poor drug quality, multiple drugs interaction or interaction with diet. Therefore several factors need to be considered in the effort to better understand treatment outcomes in the context of malaria elimination.</w:t>
      </w:r>
    </w:p>
    <w:p w:rsidR="005F0B71" w:rsidRDefault="008D7CE9">
      <w:pPr>
        <w:keepNext/>
        <w:spacing w:before="480" w:after="80"/>
        <w:jc w:val="center"/>
        <w:rPr>
          <w:smallCaps/>
        </w:rPr>
      </w:pPr>
      <w:r>
        <w:rPr>
          <w:smallCaps/>
        </w:rPr>
        <w:t>Conclusion</w:t>
      </w:r>
    </w:p>
    <w:p w:rsidR="005F0B71" w:rsidRDefault="00E940A5">
      <w:pPr>
        <w:shd w:val="clear" w:color="auto" w:fill="FFFFFF"/>
        <w:spacing w:line="252" w:lineRule="auto"/>
        <w:jc w:val="both"/>
      </w:pPr>
      <w:r w:rsidRPr="00E940A5">
        <w:rPr>
          <w:szCs w:val="24"/>
        </w:rPr>
        <w:t xml:space="preserve">A considerable rate of treatment failure among the three ACTs was observed indicating significant reduced susceptibility to ACTs by </w:t>
      </w:r>
      <w:r w:rsidRPr="00E940A5">
        <w:rPr>
          <w:i/>
          <w:szCs w:val="24"/>
        </w:rPr>
        <w:t>Plasmodium falciparum</w:t>
      </w:r>
      <w:r w:rsidRPr="00E940A5">
        <w:rPr>
          <w:szCs w:val="24"/>
        </w:rPr>
        <w:t>. However, both ACTs were still effective in Kano State, due to low (&lt; 10%) failure rate observed. Furthermore, patients treated with D-P had a significantly reduced risk of treatment failure due to re-infection or recrudescence, suggesting that D-P could offer a better therapeutic advantage compared to A-L and A-A. Therefore, there is need for more surveillance of ACTs resistance along line discovery of the genetic factors of the parasite that lead to recrudescence and reinfection.</w:t>
      </w:r>
      <w:r w:rsidR="008D7CE9">
        <w:t xml:space="preserve"> </w:t>
      </w:r>
    </w:p>
    <w:p w:rsidR="005F0B71" w:rsidRDefault="008D7CE9">
      <w:pPr>
        <w:keepNext/>
        <w:spacing w:before="480" w:after="80"/>
        <w:jc w:val="center"/>
        <w:rPr>
          <w:smallCaps/>
        </w:rPr>
      </w:pPr>
      <w:r>
        <w:rPr>
          <w:smallCaps/>
        </w:rPr>
        <w:t>Acknowledgment</w:t>
      </w:r>
    </w:p>
    <w:p w:rsidR="005F0B71" w:rsidRDefault="00E940A5">
      <w:pPr>
        <w:widowControl w:val="0"/>
        <w:spacing w:line="252" w:lineRule="auto"/>
        <w:ind w:firstLine="202"/>
        <w:jc w:val="both"/>
        <w:rPr>
          <w:szCs w:val="24"/>
        </w:rPr>
      </w:pPr>
      <w:r w:rsidRPr="00E940A5">
        <w:rPr>
          <w:szCs w:val="24"/>
        </w:rPr>
        <w:t xml:space="preserve">We are grateful to the Kano State Malaria Elimination Program, Ministry of Health for providing drugs and mosquito nets as souvenir to participants of the study, as well as the </w:t>
      </w:r>
      <w:r w:rsidRPr="00E940A5">
        <w:rPr>
          <w:bCs/>
          <w:szCs w:val="24"/>
        </w:rPr>
        <w:t>volunteer medical Doctors</w:t>
      </w:r>
      <w:r w:rsidRPr="00E940A5">
        <w:rPr>
          <w:szCs w:val="24"/>
        </w:rPr>
        <w:t xml:space="preserve"> of Murtala Muhammad Specialist Hospital, Kano State, for their tremendous assistance during subjects’ consultations and drugs administration.  Our acknowledgements are also due to parents/guardians of those who participated in the study.</w:t>
      </w:r>
    </w:p>
    <w:p w:rsidR="007917AE" w:rsidRPr="00590E47" w:rsidRDefault="007917AE" w:rsidP="007917AE">
      <w:pPr>
        <w:spacing w:before="240"/>
        <w:jc w:val="center"/>
        <w:rPr>
          <w:szCs w:val="24"/>
        </w:rPr>
      </w:pPr>
      <w:r w:rsidRPr="00590E47">
        <w:rPr>
          <w:szCs w:val="24"/>
        </w:rPr>
        <w:t>COMPETING INTERESTS</w:t>
      </w:r>
    </w:p>
    <w:p w:rsidR="007917AE" w:rsidRPr="00590E47" w:rsidRDefault="007917AE" w:rsidP="007917AE">
      <w:pPr>
        <w:widowControl w:val="0"/>
        <w:spacing w:line="252" w:lineRule="auto"/>
        <w:ind w:firstLine="202"/>
        <w:jc w:val="both"/>
        <w:rPr>
          <w:sz w:val="12"/>
        </w:rPr>
      </w:pPr>
      <w:r w:rsidRPr="00590E47">
        <w:rPr>
          <w:szCs w:val="24"/>
        </w:rPr>
        <w:t>The authors declare no any competing interests.</w:t>
      </w:r>
    </w:p>
    <w:p w:rsidR="005F0B71" w:rsidRDefault="008D7CE9">
      <w:pPr>
        <w:keepNext/>
        <w:spacing w:before="480" w:after="80"/>
        <w:jc w:val="center"/>
        <w:rPr>
          <w:smallCaps/>
        </w:rPr>
      </w:pPr>
      <w:r>
        <w:rPr>
          <w:smallCaps/>
        </w:rPr>
        <w:t>References</w:t>
      </w:r>
    </w:p>
    <w:p w:rsidR="00B47E09" w:rsidRPr="00B47E09" w:rsidRDefault="00B47E09" w:rsidP="00B47E09">
      <w:pPr>
        <w:widowControl w:val="0"/>
        <w:autoSpaceDE w:val="0"/>
        <w:autoSpaceDN w:val="0"/>
        <w:adjustRightInd w:val="0"/>
        <w:ind w:left="480" w:hanging="480"/>
        <w:jc w:val="both"/>
      </w:pPr>
      <w:r w:rsidRPr="008A45B2">
        <w:rPr>
          <w:noProof/>
        </w:rPr>
        <w:t>Ajayi</w:t>
      </w:r>
      <w:r w:rsidRPr="00B47E09">
        <w:rPr>
          <w:noProof/>
        </w:rPr>
        <w:t xml:space="preserve">, N. A., &amp; Ukwaja, K. N. (2013). Case Report Possible artemisinin-based combination therapy-resistant malaria in Nigeria : a report of three cases. </w:t>
      </w:r>
      <w:r w:rsidRPr="00B47E09">
        <w:rPr>
          <w:i/>
          <w:iCs/>
          <w:noProof/>
        </w:rPr>
        <w:t xml:space="preserve">Revista Da </w:t>
      </w:r>
      <w:r w:rsidRPr="00B47E09">
        <w:rPr>
          <w:i/>
          <w:iCs/>
          <w:noProof/>
        </w:rPr>
        <w:lastRenderedPageBreak/>
        <w:t>Sociedade Brasileira de Medicina Tropical</w:t>
      </w:r>
      <w:r w:rsidRPr="00B47E09">
        <w:rPr>
          <w:noProof/>
        </w:rPr>
        <w:t xml:space="preserve">, </w:t>
      </w:r>
      <w:r w:rsidRPr="00B47E09">
        <w:rPr>
          <w:b/>
          <w:i/>
          <w:iCs/>
          <w:noProof/>
        </w:rPr>
        <w:t>46</w:t>
      </w:r>
      <w:r w:rsidRPr="00B47E09">
        <w:rPr>
          <w:noProof/>
        </w:rPr>
        <w:t>(4), 525–527.</w:t>
      </w:r>
    </w:p>
    <w:p w:rsidR="00B47E09" w:rsidRPr="00B47E09" w:rsidRDefault="00B47E09" w:rsidP="00B47E09">
      <w:pPr>
        <w:widowControl w:val="0"/>
        <w:autoSpaceDE w:val="0"/>
        <w:autoSpaceDN w:val="0"/>
        <w:adjustRightInd w:val="0"/>
        <w:ind w:left="480" w:hanging="480"/>
        <w:jc w:val="both"/>
        <w:rPr>
          <w:noProof/>
        </w:rPr>
      </w:pPr>
      <w:r w:rsidRPr="008A45B2">
        <w:rPr>
          <w:noProof/>
        </w:rPr>
        <w:t>Amaratunga</w:t>
      </w:r>
      <w:r w:rsidRPr="00B47E09">
        <w:rPr>
          <w:noProof/>
        </w:rPr>
        <w:t xml:space="preserve">, C., Lim, P., Suon, S., Sreng, S., Mao, S., Sam, B., Rick, M. (2017). Dihydroartemisinin–piperaquine resistance in Plasmodium falciparum malaria in Cambodia: a multisite prospective cohort study. </w:t>
      </w:r>
      <w:r w:rsidRPr="00B47E09">
        <w:rPr>
          <w:i/>
          <w:iCs/>
          <w:noProof/>
        </w:rPr>
        <w:t>Lancet Infectious Diseases</w:t>
      </w:r>
      <w:r w:rsidRPr="00B47E09">
        <w:rPr>
          <w:noProof/>
        </w:rPr>
        <w:t xml:space="preserve">, </w:t>
      </w:r>
      <w:r w:rsidRPr="00B47E09">
        <w:rPr>
          <w:b/>
          <w:i/>
          <w:iCs/>
          <w:noProof/>
        </w:rPr>
        <w:t>16</w:t>
      </w:r>
      <w:r w:rsidRPr="00B47E09">
        <w:rPr>
          <w:noProof/>
        </w:rPr>
        <w:t xml:space="preserve">(3), 357–365. </w:t>
      </w:r>
    </w:p>
    <w:p w:rsidR="00B47E09" w:rsidRPr="00B47E09" w:rsidRDefault="00B47E09" w:rsidP="00B47E09">
      <w:pPr>
        <w:widowControl w:val="0"/>
        <w:autoSpaceDE w:val="0"/>
        <w:autoSpaceDN w:val="0"/>
        <w:adjustRightInd w:val="0"/>
        <w:ind w:left="480" w:hanging="480"/>
        <w:jc w:val="both"/>
        <w:rPr>
          <w:noProof/>
        </w:rPr>
      </w:pPr>
      <w:r w:rsidRPr="008A45B2">
        <w:rPr>
          <w:noProof/>
        </w:rPr>
        <w:t>Aminu</w:t>
      </w:r>
      <w:r w:rsidRPr="00B47E09">
        <w:rPr>
          <w:noProof/>
        </w:rPr>
        <w:t xml:space="preserve">, B. M. and Muktar, M. D. (2017). In vitro  Efficacy of ACT Drugs on Plasmodium falciparum Clinical Isolates from Kano and Katsina State, Nigeria. </w:t>
      </w:r>
      <w:r w:rsidRPr="00B47E09">
        <w:rPr>
          <w:i/>
          <w:noProof/>
        </w:rPr>
        <w:t>Bayero Journal of Pure and Applied Sciences</w:t>
      </w:r>
      <w:r w:rsidRPr="00B47E09">
        <w:rPr>
          <w:noProof/>
        </w:rPr>
        <w:t xml:space="preserve">, </w:t>
      </w:r>
      <w:r w:rsidRPr="00B47E09">
        <w:rPr>
          <w:b/>
          <w:noProof/>
        </w:rPr>
        <w:t>10</w:t>
      </w:r>
      <w:r w:rsidRPr="00B47E09">
        <w:rPr>
          <w:noProof/>
        </w:rPr>
        <w:t>(1): 49-52.</w:t>
      </w:r>
    </w:p>
    <w:p w:rsidR="00B47E09" w:rsidRPr="00B47E09" w:rsidRDefault="00B47E09" w:rsidP="00B47E09">
      <w:pPr>
        <w:widowControl w:val="0"/>
        <w:autoSpaceDE w:val="0"/>
        <w:autoSpaceDN w:val="0"/>
        <w:adjustRightInd w:val="0"/>
        <w:ind w:left="480" w:hanging="480"/>
        <w:jc w:val="both"/>
        <w:rPr>
          <w:noProof/>
        </w:rPr>
      </w:pPr>
      <w:r w:rsidRPr="008A45B2">
        <w:rPr>
          <w:noProof/>
        </w:rPr>
        <w:t>Aline</w:t>
      </w:r>
      <w:r w:rsidRPr="00B47E09">
        <w:rPr>
          <w:noProof/>
        </w:rPr>
        <w:t xml:space="preserve"> U., Eric, L., Barbara, H. S., Jean-Louis, M. N., Marian, W., Noella, U., Daniel, N., Tharcisse, M., Jean-Baptiste, M., Kaendi, M., Pascal, C., Alexis, C., Frédéric, A., Monique, M., Pascal, R., David, A. F., Aimable, M. and Didier, M. (2020). Emergence and clonal expansion of in vitro artemisinin-resistant Plasmodium falciparum kelch13 R561H mutant parasites in Rwanda. </w:t>
      </w:r>
      <w:r w:rsidRPr="00B47E09">
        <w:rPr>
          <w:i/>
          <w:noProof/>
        </w:rPr>
        <w:t>Nature</w:t>
      </w:r>
      <w:r w:rsidRPr="00B47E09">
        <w:rPr>
          <w:noProof/>
        </w:rPr>
        <w:t xml:space="preserve">, </w:t>
      </w:r>
      <w:r w:rsidRPr="00B47E09">
        <w:rPr>
          <w:b/>
          <w:noProof/>
        </w:rPr>
        <w:t>26</w:t>
      </w:r>
      <w:r w:rsidRPr="00B47E09">
        <w:rPr>
          <w:noProof/>
        </w:rPr>
        <w:t>: 1602–1608.</w:t>
      </w:r>
    </w:p>
    <w:p w:rsidR="00B47E09" w:rsidRPr="00B47E09" w:rsidRDefault="00B47E09" w:rsidP="00B47E09">
      <w:pPr>
        <w:widowControl w:val="0"/>
        <w:autoSpaceDE w:val="0"/>
        <w:autoSpaceDN w:val="0"/>
        <w:adjustRightInd w:val="0"/>
        <w:ind w:left="480" w:hanging="480"/>
        <w:jc w:val="both"/>
        <w:rPr>
          <w:noProof/>
        </w:rPr>
      </w:pPr>
      <w:r w:rsidRPr="008A45B2">
        <w:rPr>
          <w:noProof/>
        </w:rPr>
        <w:t>Ashley</w:t>
      </w:r>
      <w:r w:rsidRPr="00B47E09">
        <w:rPr>
          <w:noProof/>
        </w:rPr>
        <w:t xml:space="preserve">, A., Dhorda, M., Fairhurst, R. M., Amaratunga, C., Lim, P., Suon, S., White, N. J. (2015). Spread of Artemisinin Resistance in Plasmodium falciparum Malaria. </w:t>
      </w:r>
      <w:r w:rsidRPr="00B47E09">
        <w:rPr>
          <w:i/>
          <w:iCs/>
          <w:noProof/>
        </w:rPr>
        <w:t>New England Journal of Medicine</w:t>
      </w:r>
      <w:r w:rsidRPr="00B47E09">
        <w:rPr>
          <w:noProof/>
        </w:rPr>
        <w:t xml:space="preserve">, </w:t>
      </w:r>
      <w:r w:rsidRPr="00B47E09">
        <w:rPr>
          <w:b/>
          <w:i/>
          <w:iCs/>
          <w:noProof/>
        </w:rPr>
        <w:t>371</w:t>
      </w:r>
      <w:r w:rsidRPr="00B47E09">
        <w:rPr>
          <w:noProof/>
        </w:rPr>
        <w:t xml:space="preserve">(5), 411–423. </w:t>
      </w:r>
    </w:p>
    <w:p w:rsidR="00B47E09" w:rsidRPr="00B47E09" w:rsidRDefault="00B47E09" w:rsidP="00B47E09">
      <w:pPr>
        <w:widowControl w:val="0"/>
        <w:autoSpaceDE w:val="0"/>
        <w:autoSpaceDN w:val="0"/>
        <w:adjustRightInd w:val="0"/>
        <w:ind w:left="480" w:hanging="480"/>
        <w:jc w:val="both"/>
        <w:rPr>
          <w:noProof/>
        </w:rPr>
      </w:pPr>
      <w:r w:rsidRPr="008A45B2">
        <w:rPr>
          <w:noProof/>
        </w:rPr>
        <w:t>Burkirwa</w:t>
      </w:r>
      <w:r w:rsidRPr="00B47E09">
        <w:rPr>
          <w:noProof/>
        </w:rPr>
        <w:t xml:space="preserve">, H., Yeka A., Kamya M. R., Talisuna A., Banek, K. (2006). Artemisinin combination therapies for treatment of uncomplicated malaria in Uganda. </w:t>
      </w:r>
      <w:r w:rsidRPr="00B47E09">
        <w:rPr>
          <w:i/>
          <w:noProof/>
        </w:rPr>
        <w:t>Plos Clinical</w:t>
      </w:r>
      <w:r w:rsidRPr="00B47E09">
        <w:rPr>
          <w:noProof/>
        </w:rPr>
        <w:t xml:space="preserve"> </w:t>
      </w:r>
      <w:r w:rsidRPr="00B47E09">
        <w:rPr>
          <w:i/>
          <w:noProof/>
        </w:rPr>
        <w:t>Trials,</w:t>
      </w:r>
      <w:r w:rsidRPr="00B47E09">
        <w:rPr>
          <w:noProof/>
        </w:rPr>
        <w:t xml:space="preserve"> </w:t>
      </w:r>
      <w:r w:rsidRPr="00B47E09">
        <w:rPr>
          <w:b/>
          <w:noProof/>
        </w:rPr>
        <w:t>1</w:t>
      </w:r>
      <w:r w:rsidRPr="00B47E09">
        <w:rPr>
          <w:noProof/>
        </w:rPr>
        <w:t>: 7-14.</w:t>
      </w:r>
    </w:p>
    <w:p w:rsidR="00B47E09" w:rsidRPr="00B47E09" w:rsidRDefault="00B47E09" w:rsidP="00B47E09">
      <w:pPr>
        <w:widowControl w:val="0"/>
        <w:autoSpaceDE w:val="0"/>
        <w:autoSpaceDN w:val="0"/>
        <w:adjustRightInd w:val="0"/>
        <w:ind w:left="480" w:hanging="480"/>
        <w:jc w:val="both"/>
        <w:rPr>
          <w:noProof/>
        </w:rPr>
      </w:pPr>
      <w:r w:rsidRPr="008A45B2">
        <w:rPr>
          <w:noProof/>
        </w:rPr>
        <w:t>Dorsey</w:t>
      </w:r>
      <w:r w:rsidRPr="00B47E09">
        <w:rPr>
          <w:noProof/>
        </w:rPr>
        <w:t xml:space="preserve">, G., Staedke, S., Clark, T. D., Njama- Meya, D., Nzarubara, B., Maiteki- Sebuguzi, C., Dokomajilar, C., Kamya, M. R., Rosenthal, P. J. (2007). Combination therapy for uncomplicated falciparum malaria: A longitudinal randomized trial. </w:t>
      </w:r>
      <w:r w:rsidRPr="00B47E09">
        <w:rPr>
          <w:i/>
          <w:noProof/>
        </w:rPr>
        <w:t>Lancet,</w:t>
      </w:r>
      <w:r w:rsidRPr="00B47E09">
        <w:rPr>
          <w:noProof/>
        </w:rPr>
        <w:t xml:space="preserve"> </w:t>
      </w:r>
      <w:r w:rsidRPr="00B47E09">
        <w:rPr>
          <w:b/>
          <w:noProof/>
        </w:rPr>
        <w:t>360</w:t>
      </w:r>
      <w:r w:rsidRPr="00B47E09">
        <w:rPr>
          <w:noProof/>
        </w:rPr>
        <w:t xml:space="preserve"> (9350): 2031 –2038.</w:t>
      </w:r>
    </w:p>
    <w:p w:rsidR="00B47E09" w:rsidRPr="00B47E09" w:rsidRDefault="00B47E09" w:rsidP="00B47E09">
      <w:pPr>
        <w:widowControl w:val="0"/>
        <w:autoSpaceDE w:val="0"/>
        <w:autoSpaceDN w:val="0"/>
        <w:adjustRightInd w:val="0"/>
        <w:ind w:left="480" w:hanging="480"/>
        <w:rPr>
          <w:noProof/>
        </w:rPr>
      </w:pPr>
      <w:r w:rsidRPr="008A45B2">
        <w:rPr>
          <w:noProof/>
        </w:rPr>
        <w:t>FMOH</w:t>
      </w:r>
      <w:r w:rsidRPr="00B47E09">
        <w:rPr>
          <w:noProof/>
        </w:rPr>
        <w:t xml:space="preserve">. (2013). </w:t>
      </w:r>
      <w:r w:rsidRPr="00B47E09">
        <w:rPr>
          <w:iCs/>
          <w:noProof/>
        </w:rPr>
        <w:t>National antimalarial treatment guidelines</w:t>
      </w:r>
      <w:r w:rsidRPr="00B47E09">
        <w:rPr>
          <w:noProof/>
        </w:rPr>
        <w:t xml:space="preserve">. </w:t>
      </w:r>
      <w:r w:rsidRPr="00B47E09">
        <w:rPr>
          <w:i/>
          <w:noProof/>
        </w:rPr>
        <w:t>Federal Ministry of Health,</w:t>
      </w:r>
      <w:r w:rsidRPr="00B47E09">
        <w:rPr>
          <w:noProof/>
        </w:rPr>
        <w:t xml:space="preserve"> 1–25.</w:t>
      </w:r>
    </w:p>
    <w:p w:rsidR="00B47E09" w:rsidRPr="00B47E09" w:rsidRDefault="00B47E09" w:rsidP="00B47E09">
      <w:pPr>
        <w:widowControl w:val="0"/>
        <w:autoSpaceDE w:val="0"/>
        <w:autoSpaceDN w:val="0"/>
        <w:adjustRightInd w:val="0"/>
        <w:ind w:left="480" w:hanging="480"/>
        <w:jc w:val="both"/>
        <w:rPr>
          <w:noProof/>
        </w:rPr>
      </w:pPr>
      <w:r w:rsidRPr="008A45B2">
        <w:rPr>
          <w:noProof/>
        </w:rPr>
        <w:t>Happi</w:t>
      </w:r>
      <w:r w:rsidRPr="00B47E09">
        <w:rPr>
          <w:noProof/>
        </w:rPr>
        <w:t xml:space="preserve">, C. T., Gbotosho, G., Folarin, O. A., Sowunmi, A., Hudson T., Neil M. O., Milhouse, W., Wirth, D. F. and Oduola, A. M. J. (2008). Selection of plasmodium falciparum mdr1 in asexual stages and gametocytes by artemether-lumefantrine in Nigerian children with uncomplicated falciparum malaria. </w:t>
      </w:r>
      <w:r w:rsidRPr="00B47E09">
        <w:rPr>
          <w:i/>
          <w:noProof/>
        </w:rPr>
        <w:t>J. Antimicrobial Agents and Chemotherapy</w:t>
      </w:r>
      <w:r w:rsidRPr="00B47E09">
        <w:rPr>
          <w:noProof/>
        </w:rPr>
        <w:t xml:space="preserve">, </w:t>
      </w:r>
      <w:r w:rsidRPr="00B47E09">
        <w:rPr>
          <w:b/>
          <w:i/>
          <w:noProof/>
        </w:rPr>
        <w:t>53</w:t>
      </w:r>
      <w:r w:rsidRPr="00B47E09">
        <w:rPr>
          <w:noProof/>
        </w:rPr>
        <w:t>(3): 885– 895.</w:t>
      </w:r>
    </w:p>
    <w:p w:rsidR="00B47E09" w:rsidRPr="00B47E09" w:rsidRDefault="00B47E09" w:rsidP="00B47E09">
      <w:pPr>
        <w:widowControl w:val="0"/>
        <w:autoSpaceDE w:val="0"/>
        <w:autoSpaceDN w:val="0"/>
        <w:adjustRightInd w:val="0"/>
        <w:ind w:left="480" w:hanging="480"/>
        <w:jc w:val="both"/>
        <w:rPr>
          <w:noProof/>
        </w:rPr>
      </w:pPr>
      <w:r w:rsidRPr="008A45B2">
        <w:rPr>
          <w:noProof/>
        </w:rPr>
        <w:t>Kidima</w:t>
      </w:r>
      <w:r w:rsidRPr="00B47E09">
        <w:rPr>
          <w:noProof/>
        </w:rPr>
        <w:t xml:space="preserve">, W., &amp; Nkwengulila, G. (2015). </w:t>
      </w:r>
      <w:r w:rsidRPr="00B47E09">
        <w:rPr>
          <w:i/>
          <w:noProof/>
        </w:rPr>
        <w:t>Plasmodium</w:t>
      </w:r>
      <w:r w:rsidRPr="00B47E09">
        <w:rPr>
          <w:noProof/>
        </w:rPr>
        <w:t xml:space="preserve"> </w:t>
      </w:r>
      <w:r w:rsidRPr="00B47E09">
        <w:rPr>
          <w:i/>
          <w:noProof/>
        </w:rPr>
        <w:t>falciparum</w:t>
      </w:r>
      <w:r w:rsidRPr="00B47E09">
        <w:rPr>
          <w:noProof/>
        </w:rPr>
        <w:t xml:space="preserve"> msp2 Genotypes and Multiplicity of Infections among Children under Five Years with Uncomplicated Malaria in Kibaha, Tanzania. </w:t>
      </w:r>
      <w:r w:rsidRPr="00B47E09">
        <w:rPr>
          <w:i/>
          <w:iCs/>
          <w:noProof/>
        </w:rPr>
        <w:t>Journal of Parasitology Research</w:t>
      </w:r>
      <w:r w:rsidRPr="00B47E09">
        <w:rPr>
          <w:noProof/>
        </w:rPr>
        <w:t xml:space="preserve">, </w:t>
      </w:r>
      <w:r w:rsidRPr="00B47E09">
        <w:rPr>
          <w:b/>
          <w:i/>
          <w:iCs/>
          <w:noProof/>
        </w:rPr>
        <w:t>2015</w:t>
      </w:r>
      <w:r w:rsidRPr="00B47E09">
        <w:rPr>
          <w:iCs/>
          <w:noProof/>
        </w:rPr>
        <w:t>:</w:t>
      </w:r>
      <w:r w:rsidRPr="00B47E09">
        <w:rPr>
          <w:noProof/>
        </w:rPr>
        <w:t xml:space="preserve"> 1–6. </w:t>
      </w:r>
    </w:p>
    <w:p w:rsidR="00B47E09" w:rsidRPr="00B47E09" w:rsidRDefault="00B47E09" w:rsidP="00B47E09">
      <w:pPr>
        <w:widowControl w:val="0"/>
        <w:autoSpaceDE w:val="0"/>
        <w:autoSpaceDN w:val="0"/>
        <w:adjustRightInd w:val="0"/>
        <w:ind w:left="480" w:hanging="480"/>
        <w:jc w:val="both"/>
        <w:rPr>
          <w:noProof/>
        </w:rPr>
      </w:pPr>
      <w:r w:rsidRPr="008A45B2">
        <w:rPr>
          <w:noProof/>
        </w:rPr>
        <w:t>Lacey</w:t>
      </w:r>
      <w:r w:rsidR="000713FC">
        <w:rPr>
          <w:noProof/>
        </w:rPr>
        <w:t xml:space="preserve">, M.S. &amp; Walter, </w:t>
      </w:r>
      <w:r w:rsidRPr="00B47E09">
        <w:rPr>
          <w:noProof/>
        </w:rPr>
        <w:t>T.</w:t>
      </w:r>
      <w:r w:rsidR="000713FC">
        <w:rPr>
          <w:noProof/>
        </w:rPr>
        <w:t>W.</w:t>
      </w:r>
      <w:r w:rsidR="00CF1CAB">
        <w:rPr>
          <w:noProof/>
        </w:rPr>
        <w:t xml:space="preserve"> (2021</w:t>
      </w:r>
      <w:r w:rsidRPr="00B47E09">
        <w:rPr>
          <w:noProof/>
        </w:rPr>
        <w:t xml:space="preserve">). </w:t>
      </w:r>
      <w:r w:rsidRPr="00B47E09">
        <w:rPr>
          <w:i/>
          <w:noProof/>
        </w:rPr>
        <w:t>Plasmodium vivax</w:t>
      </w:r>
      <w:r w:rsidRPr="00B47E09">
        <w:rPr>
          <w:noProof/>
        </w:rPr>
        <w:t>,  StatPearls Publishing.</w:t>
      </w:r>
      <w:r w:rsidR="008C0D9F">
        <w:rPr>
          <w:noProof/>
        </w:rPr>
        <w:t xml:space="preserve"> </w:t>
      </w:r>
      <w:hyperlink r:id="rId8" w:history="1">
        <w:proofErr w:type="gramStart"/>
        <w:r w:rsidR="008C0D9F" w:rsidRPr="008C0D9F">
          <w:rPr>
            <w:rStyle w:val="Hyperlink"/>
            <w:color w:val="000000" w:themeColor="text1"/>
            <w:u w:val="none"/>
            <w:shd w:val="clear" w:color="auto" w:fill="FFFFFF"/>
          </w:rPr>
          <w:t>National Center for Biotechnology Information</w:t>
        </w:r>
      </w:hyperlink>
      <w:r w:rsidR="008C0D9F">
        <w:rPr>
          <w:rStyle w:val="url"/>
          <w:color w:val="000000" w:themeColor="text1"/>
          <w:shd w:val="clear" w:color="auto" w:fill="FFFFFF"/>
        </w:rPr>
        <w:t xml:space="preserve"> (NCBI)</w:t>
      </w:r>
      <w:r w:rsidR="008C0D9F" w:rsidRPr="008C0D9F">
        <w:rPr>
          <w:rStyle w:val="url"/>
          <w:color w:val="000000" w:themeColor="text1"/>
          <w:shd w:val="clear" w:color="auto" w:fill="FFFFFF"/>
        </w:rPr>
        <w:t>, </w:t>
      </w:r>
      <w:hyperlink r:id="rId9" w:history="1">
        <w:r w:rsidR="008C0D9F" w:rsidRPr="008C0D9F">
          <w:rPr>
            <w:rStyle w:val="Hyperlink"/>
            <w:color w:val="000000" w:themeColor="text1"/>
            <w:u w:val="none"/>
            <w:shd w:val="clear" w:color="auto" w:fill="FFFFFF"/>
          </w:rPr>
          <w:t>U.S. National Library of Medicine</w:t>
        </w:r>
      </w:hyperlink>
      <w:r w:rsidR="008C0D9F">
        <w:rPr>
          <w:rStyle w:val="street-address"/>
          <w:color w:val="000000" w:themeColor="text1"/>
          <w:shd w:val="clear" w:color="auto" w:fill="FFFFFF"/>
        </w:rPr>
        <w:t xml:space="preserve">8600 Rockville </w:t>
      </w:r>
      <w:r w:rsidR="008C0D9F" w:rsidRPr="008C0D9F">
        <w:rPr>
          <w:rStyle w:val="street-address"/>
          <w:color w:val="000000" w:themeColor="text1"/>
          <w:shd w:val="clear" w:color="auto" w:fill="FFFFFF"/>
        </w:rPr>
        <w:t>Pike</w:t>
      </w:r>
      <w:r w:rsidR="008C0D9F">
        <w:rPr>
          <w:rStyle w:val="adr"/>
          <w:color w:val="000000" w:themeColor="text1"/>
          <w:shd w:val="clear" w:color="auto" w:fill="FFFFFF"/>
        </w:rPr>
        <w:t xml:space="preserve">, </w:t>
      </w:r>
      <w:r w:rsidR="008C0D9F" w:rsidRPr="008C0D9F">
        <w:rPr>
          <w:rStyle w:val="locality"/>
          <w:color w:val="000000" w:themeColor="text1"/>
          <w:shd w:val="clear" w:color="auto" w:fill="FFFFFF"/>
        </w:rPr>
        <w:t>Bethesda</w:t>
      </w:r>
      <w:r w:rsidR="008C0D9F">
        <w:rPr>
          <w:rStyle w:val="adr"/>
          <w:color w:val="000000" w:themeColor="text1"/>
          <w:shd w:val="clear" w:color="auto" w:fill="FFFFFF"/>
        </w:rPr>
        <w:t xml:space="preserve"> </w:t>
      </w:r>
      <w:r w:rsidR="008C0D9F" w:rsidRPr="008C0D9F">
        <w:rPr>
          <w:rStyle w:val="region"/>
          <w:color w:val="000000" w:themeColor="text1"/>
          <w:shd w:val="clear" w:color="auto" w:fill="FFFFFF"/>
        </w:rPr>
        <w:t>MD</w:t>
      </w:r>
      <w:r w:rsidR="008C0D9F" w:rsidRPr="008C0D9F">
        <w:rPr>
          <w:rStyle w:val="adr"/>
          <w:color w:val="000000" w:themeColor="text1"/>
          <w:shd w:val="clear" w:color="auto" w:fill="FFFFFF"/>
        </w:rPr>
        <w:t>, </w:t>
      </w:r>
      <w:r w:rsidR="008C0D9F" w:rsidRPr="008C0D9F">
        <w:rPr>
          <w:rStyle w:val="postal-code"/>
          <w:color w:val="000000" w:themeColor="text1"/>
          <w:shd w:val="clear" w:color="auto" w:fill="FFFFFF"/>
        </w:rPr>
        <w:t>20894</w:t>
      </w:r>
      <w:r w:rsidR="008C0D9F" w:rsidRPr="008C0D9F">
        <w:rPr>
          <w:rStyle w:val="adr"/>
          <w:color w:val="000000" w:themeColor="text1"/>
          <w:shd w:val="clear" w:color="auto" w:fill="FFFFFF"/>
        </w:rPr>
        <w:t> </w:t>
      </w:r>
      <w:r w:rsidR="008C0D9F" w:rsidRPr="008C0D9F">
        <w:rPr>
          <w:rStyle w:val="country-name"/>
          <w:color w:val="000000" w:themeColor="text1"/>
          <w:shd w:val="clear" w:color="auto" w:fill="FFFFFF"/>
        </w:rPr>
        <w:t>USA</w:t>
      </w:r>
      <w:r w:rsidR="008C0D9F">
        <w:rPr>
          <w:rStyle w:val="country-name"/>
          <w:color w:val="000000" w:themeColor="text1"/>
          <w:shd w:val="clear" w:color="auto" w:fill="FFFFFF"/>
        </w:rPr>
        <w:t>.</w:t>
      </w:r>
      <w:bookmarkStart w:id="7" w:name="_GoBack"/>
      <w:bookmarkEnd w:id="7"/>
      <w:proofErr w:type="gramEnd"/>
    </w:p>
    <w:p w:rsidR="00B47E09" w:rsidRPr="00B47E09" w:rsidRDefault="00B47E09" w:rsidP="00B47E09">
      <w:pPr>
        <w:widowControl w:val="0"/>
        <w:autoSpaceDE w:val="0"/>
        <w:autoSpaceDN w:val="0"/>
        <w:adjustRightInd w:val="0"/>
        <w:ind w:left="480" w:hanging="480"/>
        <w:jc w:val="both"/>
        <w:rPr>
          <w:noProof/>
        </w:rPr>
      </w:pPr>
      <w:r w:rsidRPr="008A45B2">
        <w:rPr>
          <w:noProof/>
        </w:rPr>
        <w:t>Martensson</w:t>
      </w:r>
      <w:r w:rsidRPr="00B47E09">
        <w:rPr>
          <w:noProof/>
        </w:rPr>
        <w:t xml:space="preserve">, A., Stroberg, J., Sisowath, C., Msellem, M. I., Gil, J. P., Montgomery, S. M., Olliaro, P., Ali, A. S., and Bjorkman, A. (2005). Efficacy of artesunate plus amodiaquine versus that of artemether- lemefantrine for the treatment of uncomplicated childhood Plasmodium falciparum malaria in Zanzibar, Tanzania. </w:t>
      </w:r>
      <w:r w:rsidRPr="00B47E09">
        <w:rPr>
          <w:i/>
          <w:noProof/>
        </w:rPr>
        <w:t>Clinical Infectious Diseases</w:t>
      </w:r>
      <w:r w:rsidRPr="00B47E09">
        <w:rPr>
          <w:noProof/>
        </w:rPr>
        <w:t xml:space="preserve">, </w:t>
      </w:r>
      <w:r w:rsidRPr="00B47E09">
        <w:rPr>
          <w:b/>
          <w:i/>
          <w:noProof/>
        </w:rPr>
        <w:t>41</w:t>
      </w:r>
      <w:r w:rsidRPr="00B47E09">
        <w:rPr>
          <w:noProof/>
        </w:rPr>
        <w:t>: 1079-1086.</w:t>
      </w:r>
    </w:p>
    <w:p w:rsidR="00B47E09" w:rsidRPr="00B47E09" w:rsidRDefault="00B47E09" w:rsidP="00B47E09">
      <w:pPr>
        <w:widowControl w:val="0"/>
        <w:autoSpaceDE w:val="0"/>
        <w:autoSpaceDN w:val="0"/>
        <w:adjustRightInd w:val="0"/>
        <w:ind w:left="480" w:hanging="480"/>
        <w:jc w:val="both"/>
        <w:rPr>
          <w:noProof/>
        </w:rPr>
      </w:pPr>
      <w:r w:rsidRPr="008A45B2">
        <w:rPr>
          <w:noProof/>
        </w:rPr>
        <w:lastRenderedPageBreak/>
        <w:t>Mugittu</w:t>
      </w:r>
      <w:r w:rsidRPr="00B47E09">
        <w:rPr>
          <w:noProof/>
        </w:rPr>
        <w:t xml:space="preserve">, K., Adjuik, M., Snounou, G., Ntoumi, F., Taylor, W., Mshinda, H., Beck, H. P. (2006). Molecular genotyping to distinguish between recrudescents and new infections in treatment trials of Plasmodium falciparum malaria conducted in Sub-Saharan Africa: Adjustment of parasitological outcomes and assessment of genotyping effectiveness. </w:t>
      </w:r>
      <w:r w:rsidRPr="00B47E09">
        <w:rPr>
          <w:i/>
          <w:iCs/>
          <w:noProof/>
        </w:rPr>
        <w:t>Tropical Medicine and International Health</w:t>
      </w:r>
      <w:r w:rsidRPr="00B47E09">
        <w:rPr>
          <w:noProof/>
        </w:rPr>
        <w:t xml:space="preserve">, </w:t>
      </w:r>
      <w:r w:rsidRPr="00B47E09">
        <w:rPr>
          <w:b/>
          <w:i/>
          <w:iCs/>
          <w:noProof/>
        </w:rPr>
        <w:t>11</w:t>
      </w:r>
      <w:r w:rsidRPr="00B47E09">
        <w:rPr>
          <w:noProof/>
        </w:rPr>
        <w:t xml:space="preserve">(9), 1350–1359. </w:t>
      </w:r>
    </w:p>
    <w:p w:rsidR="00B47E09" w:rsidRPr="00B47E09" w:rsidRDefault="00B47E09" w:rsidP="00B47E09">
      <w:pPr>
        <w:widowControl w:val="0"/>
        <w:autoSpaceDE w:val="0"/>
        <w:autoSpaceDN w:val="0"/>
        <w:adjustRightInd w:val="0"/>
        <w:ind w:left="480" w:hanging="480"/>
        <w:jc w:val="both"/>
        <w:rPr>
          <w:noProof/>
        </w:rPr>
      </w:pPr>
      <w:r w:rsidRPr="008A45B2">
        <w:rPr>
          <w:noProof/>
        </w:rPr>
        <w:t>Mutabingwa</w:t>
      </w:r>
      <w:r w:rsidRPr="00B47E09">
        <w:rPr>
          <w:noProof/>
        </w:rPr>
        <w:t xml:space="preserve">, T. K., Anthony, D., Heller, A., Hallet, R., Ahmed, J., Drakeley, C., Greenwood, B. M., and Whitty, C. J. (2005). Amodiaquine alone, amodiaquine/sulfadoxine-pyrimethamine, amodiaquine/artesunate, and arthemether/lumefantrine for out- patient treatment of malaria in Tanzanian children: a four arm randomized effectiveness trial. </w:t>
      </w:r>
      <w:r w:rsidRPr="00B47E09">
        <w:rPr>
          <w:i/>
          <w:noProof/>
        </w:rPr>
        <w:t>Lancet</w:t>
      </w:r>
      <w:r w:rsidRPr="00B47E09">
        <w:rPr>
          <w:noProof/>
        </w:rPr>
        <w:t xml:space="preserve">, </w:t>
      </w:r>
      <w:r w:rsidRPr="00B47E09">
        <w:rPr>
          <w:b/>
          <w:i/>
          <w:noProof/>
        </w:rPr>
        <w:t>365</w:t>
      </w:r>
      <w:r w:rsidRPr="00B47E09">
        <w:rPr>
          <w:noProof/>
        </w:rPr>
        <w:t>(9469): 1474-1480.</w:t>
      </w:r>
    </w:p>
    <w:p w:rsidR="00B47E09" w:rsidRPr="00B47E09" w:rsidRDefault="00B47E09" w:rsidP="00B47E09">
      <w:pPr>
        <w:widowControl w:val="0"/>
        <w:autoSpaceDE w:val="0"/>
        <w:autoSpaceDN w:val="0"/>
        <w:adjustRightInd w:val="0"/>
        <w:ind w:left="480" w:hanging="480"/>
        <w:jc w:val="both"/>
        <w:rPr>
          <w:noProof/>
        </w:rPr>
      </w:pPr>
      <w:r w:rsidRPr="008A45B2">
        <w:rPr>
          <w:noProof/>
        </w:rPr>
        <w:t>Petrica</w:t>
      </w:r>
      <w:r w:rsidRPr="00B47E09">
        <w:rPr>
          <w:noProof/>
        </w:rPr>
        <w:t xml:space="preserve">, R., Mtawa, A., Philip, E. T. and Sungano, M. (2008). Distinction of Plasmodium falciparum recrudescence and re-infection by MSP2 genotyping: A caution about unstandardized classification criteria. </w:t>
      </w:r>
      <w:r w:rsidRPr="00B47E09">
        <w:rPr>
          <w:i/>
          <w:noProof/>
        </w:rPr>
        <w:t>Malaria Journal,</w:t>
      </w:r>
      <w:r w:rsidRPr="00B47E09">
        <w:rPr>
          <w:noProof/>
        </w:rPr>
        <w:t xml:space="preserve"> </w:t>
      </w:r>
      <w:r w:rsidRPr="00B47E09">
        <w:rPr>
          <w:b/>
          <w:i/>
          <w:noProof/>
        </w:rPr>
        <w:t>7</w:t>
      </w:r>
      <w:r w:rsidRPr="00B47E09">
        <w:rPr>
          <w:noProof/>
        </w:rPr>
        <w:t>(1): 1-6.</w:t>
      </w:r>
    </w:p>
    <w:p w:rsidR="00B47E09" w:rsidRPr="00B47E09" w:rsidRDefault="00B47E09" w:rsidP="00B47E09">
      <w:pPr>
        <w:widowControl w:val="0"/>
        <w:autoSpaceDE w:val="0"/>
        <w:autoSpaceDN w:val="0"/>
        <w:adjustRightInd w:val="0"/>
        <w:ind w:left="480" w:hanging="480"/>
        <w:jc w:val="both"/>
        <w:rPr>
          <w:noProof/>
        </w:rPr>
      </w:pPr>
      <w:r w:rsidRPr="008A45B2">
        <w:rPr>
          <w:noProof/>
        </w:rPr>
        <w:t>Plewes</w:t>
      </w:r>
      <w:r w:rsidRPr="00B47E09">
        <w:rPr>
          <w:noProof/>
        </w:rPr>
        <w:t xml:space="preserve">, K., &amp; Leopold, S. J. (2019). Malaria What’s New in the Management of Malaria? </w:t>
      </w:r>
      <w:r w:rsidRPr="00B47E09">
        <w:rPr>
          <w:i/>
          <w:noProof/>
        </w:rPr>
        <w:t>Infectious Disease Clinics of North America</w:t>
      </w:r>
      <w:r w:rsidRPr="00B47E09">
        <w:rPr>
          <w:noProof/>
        </w:rPr>
        <w:t xml:space="preserve">, </w:t>
      </w:r>
      <w:r w:rsidRPr="00B47E09">
        <w:rPr>
          <w:b/>
          <w:noProof/>
        </w:rPr>
        <w:t>33</w:t>
      </w:r>
      <w:r w:rsidRPr="00B47E09">
        <w:rPr>
          <w:noProof/>
        </w:rPr>
        <w:t xml:space="preserve">: 39–60. </w:t>
      </w:r>
    </w:p>
    <w:p w:rsidR="00B47E09" w:rsidRPr="00B47E09" w:rsidRDefault="00B47E09" w:rsidP="00B47E09">
      <w:pPr>
        <w:widowControl w:val="0"/>
        <w:autoSpaceDE w:val="0"/>
        <w:autoSpaceDN w:val="0"/>
        <w:adjustRightInd w:val="0"/>
        <w:ind w:left="480" w:hanging="480"/>
        <w:jc w:val="both"/>
        <w:rPr>
          <w:noProof/>
        </w:rPr>
      </w:pPr>
      <w:r w:rsidRPr="008A45B2">
        <w:rPr>
          <w:noProof/>
        </w:rPr>
        <w:t>Sadiq</w:t>
      </w:r>
      <w:r w:rsidRPr="00B47E09">
        <w:rPr>
          <w:noProof/>
        </w:rPr>
        <w:t xml:space="preserve">, Y., Maikaje, D. B., Darma, B. A., &amp; Usman, S. S. (2015). Occurrence of P . Falciparum resistance to artemisinin-based combination therapy for malaria in Kano State, Nigeria. </w:t>
      </w:r>
      <w:r w:rsidRPr="00B47E09">
        <w:rPr>
          <w:i/>
          <w:noProof/>
        </w:rPr>
        <w:t>Annals of Experimental Biology</w:t>
      </w:r>
      <w:r w:rsidRPr="00B47E09">
        <w:rPr>
          <w:noProof/>
        </w:rPr>
        <w:t xml:space="preserve">, </w:t>
      </w:r>
      <w:r w:rsidRPr="00B47E09">
        <w:rPr>
          <w:b/>
          <w:noProof/>
        </w:rPr>
        <w:t>3</w:t>
      </w:r>
      <w:r w:rsidRPr="00B47E09">
        <w:rPr>
          <w:noProof/>
        </w:rPr>
        <w:t>(1): 33–38.</w:t>
      </w:r>
    </w:p>
    <w:p w:rsidR="00B47E09" w:rsidRPr="00B47E09" w:rsidRDefault="00B47E09" w:rsidP="00B47E09">
      <w:pPr>
        <w:widowControl w:val="0"/>
        <w:autoSpaceDE w:val="0"/>
        <w:autoSpaceDN w:val="0"/>
        <w:adjustRightInd w:val="0"/>
        <w:ind w:left="480" w:hanging="480"/>
        <w:jc w:val="both"/>
        <w:rPr>
          <w:noProof/>
        </w:rPr>
      </w:pPr>
      <w:r w:rsidRPr="008A45B2">
        <w:rPr>
          <w:noProof/>
        </w:rPr>
        <w:t>Shayo</w:t>
      </w:r>
      <w:r w:rsidRPr="00B47E09">
        <w:rPr>
          <w:noProof/>
        </w:rPr>
        <w:t xml:space="preserve">, A., Buza, J., &amp; Ishengoma, D. S. (2015). Monitoring of efficacy and safety of artemisinin- based anti-malarials for treatment of uncomplicated malaria : a review of evidence of implementation of anti-malarial therapeutic efficacy trials in Tanzania. </w:t>
      </w:r>
      <w:r w:rsidRPr="00B47E09">
        <w:rPr>
          <w:i/>
          <w:noProof/>
        </w:rPr>
        <w:t>Malaria Journal</w:t>
      </w:r>
      <w:r w:rsidRPr="00B47E09">
        <w:rPr>
          <w:noProof/>
        </w:rPr>
        <w:t xml:space="preserve">, </w:t>
      </w:r>
      <w:r w:rsidRPr="00B47E09">
        <w:rPr>
          <w:b/>
          <w:noProof/>
        </w:rPr>
        <w:t>14</w:t>
      </w:r>
      <w:r w:rsidRPr="00B47E09">
        <w:rPr>
          <w:noProof/>
        </w:rPr>
        <w:t>: 135–147.</w:t>
      </w:r>
    </w:p>
    <w:p w:rsidR="00B47E09" w:rsidRPr="00B47E09" w:rsidRDefault="00B47E09" w:rsidP="00B47E09">
      <w:pPr>
        <w:widowControl w:val="0"/>
        <w:autoSpaceDE w:val="0"/>
        <w:autoSpaceDN w:val="0"/>
        <w:adjustRightInd w:val="0"/>
        <w:ind w:left="480" w:hanging="480"/>
        <w:jc w:val="both"/>
        <w:rPr>
          <w:noProof/>
        </w:rPr>
      </w:pPr>
      <w:r w:rsidRPr="008A45B2">
        <w:rPr>
          <w:noProof/>
        </w:rPr>
        <w:t>Sisowath</w:t>
      </w:r>
      <w:r w:rsidRPr="00B47E09">
        <w:rPr>
          <w:noProof/>
        </w:rPr>
        <w:t xml:space="preserve">, C. J., Stromberg, A., Martensson, M., Msellem, C., Obondo, A., Bjorkman, and Gil J. P. (2005). In vivo selection of Plasmodium falciparum Pfmdr 186N coding alleles by artemether lumefantrine (coartem). </w:t>
      </w:r>
      <w:r w:rsidRPr="00B47E09">
        <w:rPr>
          <w:i/>
          <w:noProof/>
        </w:rPr>
        <w:t>Journal of Infectious Disease,</w:t>
      </w:r>
      <w:r w:rsidRPr="00B47E09">
        <w:rPr>
          <w:noProof/>
        </w:rPr>
        <w:t xml:space="preserve"> </w:t>
      </w:r>
      <w:r w:rsidRPr="00B47E09">
        <w:rPr>
          <w:b/>
          <w:i/>
          <w:noProof/>
        </w:rPr>
        <w:t>191</w:t>
      </w:r>
      <w:r w:rsidRPr="00B47E09">
        <w:rPr>
          <w:noProof/>
        </w:rPr>
        <w:t>: 1014 – 1017.</w:t>
      </w:r>
    </w:p>
    <w:p w:rsidR="00B47E09" w:rsidRPr="00B47E09" w:rsidRDefault="00B47E09" w:rsidP="008A45B2">
      <w:pPr>
        <w:widowControl w:val="0"/>
        <w:autoSpaceDE w:val="0"/>
        <w:autoSpaceDN w:val="0"/>
        <w:adjustRightInd w:val="0"/>
        <w:ind w:left="480" w:hanging="480"/>
        <w:jc w:val="both"/>
        <w:rPr>
          <w:noProof/>
        </w:rPr>
      </w:pPr>
      <w:r w:rsidRPr="00B47E09">
        <w:fldChar w:fldCharType="begin" w:fldLock="1"/>
      </w:r>
      <w:r w:rsidRPr="00B47E09">
        <w:instrText xml:space="preserve">ADDIN Mendeley Bibliography CSL_BIBLIOGRAPHY </w:instrText>
      </w:r>
      <w:r w:rsidRPr="00B47E09">
        <w:fldChar w:fldCharType="separate"/>
      </w:r>
    </w:p>
    <w:p w:rsidR="00B47E09" w:rsidRPr="00B47E09" w:rsidRDefault="00B47E09" w:rsidP="00B47E09">
      <w:pPr>
        <w:widowControl w:val="0"/>
        <w:autoSpaceDE w:val="0"/>
        <w:autoSpaceDN w:val="0"/>
        <w:adjustRightInd w:val="0"/>
        <w:ind w:left="480" w:hanging="480"/>
        <w:jc w:val="both"/>
        <w:rPr>
          <w:noProof/>
        </w:rPr>
      </w:pPr>
      <w:r w:rsidRPr="008A45B2">
        <w:rPr>
          <w:noProof/>
        </w:rPr>
        <w:t>Song</w:t>
      </w:r>
      <w:r w:rsidRPr="00B47E09">
        <w:rPr>
          <w:noProof/>
        </w:rPr>
        <w:t xml:space="preserve">, J., Socheat, D., Tan, B., Seita, S., Xu, Y., Fengzhen, O. U., Sereng, S., Sophom, L., and Li, G. (2011). Randomized trials of artemisinin–piperaquine, dihydroartemisin – piperaquine phosphate and artemether – Lumefantrine for the treatment of multidrug resistant falciparum falciparum malaria in Cambodia Thailand border area. </w:t>
      </w:r>
      <w:r w:rsidRPr="00B47E09">
        <w:rPr>
          <w:i/>
          <w:noProof/>
        </w:rPr>
        <w:t>Malarial Journal</w:t>
      </w:r>
      <w:r w:rsidRPr="00B47E09">
        <w:rPr>
          <w:noProof/>
        </w:rPr>
        <w:t xml:space="preserve">, </w:t>
      </w:r>
      <w:r w:rsidRPr="00B47E09">
        <w:rPr>
          <w:b/>
          <w:i/>
          <w:noProof/>
        </w:rPr>
        <w:t>231</w:t>
      </w:r>
      <w:r w:rsidRPr="00B47E09">
        <w:rPr>
          <w:noProof/>
        </w:rPr>
        <w:t>(10). 234-239.</w:t>
      </w:r>
    </w:p>
    <w:p w:rsidR="00B47E09" w:rsidRPr="00B47E09" w:rsidRDefault="00B47E09" w:rsidP="00B47E09">
      <w:pPr>
        <w:widowControl w:val="0"/>
        <w:autoSpaceDE w:val="0"/>
        <w:autoSpaceDN w:val="0"/>
        <w:adjustRightInd w:val="0"/>
        <w:ind w:left="480" w:hanging="480"/>
        <w:jc w:val="both"/>
        <w:rPr>
          <w:noProof/>
        </w:rPr>
      </w:pPr>
    </w:p>
    <w:p w:rsidR="00B47E09" w:rsidRPr="00B47E09" w:rsidRDefault="00B47E09" w:rsidP="00B47E09">
      <w:pPr>
        <w:widowControl w:val="0"/>
        <w:autoSpaceDE w:val="0"/>
        <w:autoSpaceDN w:val="0"/>
        <w:adjustRightInd w:val="0"/>
        <w:ind w:left="480" w:hanging="480"/>
        <w:jc w:val="both"/>
        <w:rPr>
          <w:noProof/>
        </w:rPr>
      </w:pPr>
      <w:r w:rsidRPr="008A45B2">
        <w:rPr>
          <w:noProof/>
        </w:rPr>
        <w:t>Sweta</w:t>
      </w:r>
      <w:r w:rsidRPr="00B47E09">
        <w:rPr>
          <w:noProof/>
        </w:rPr>
        <w:t xml:space="preserve">, M., Bharti, P. K., Shukla, M. M. Ali, N. A., Kashyotia, S., Kumar, S. A.(2017). Clinical and molecular monitoring of Plasmodium falciparum resistance to antimalarial drug (artesunate + sulphadoxine-pyrimethamine) in two highly malarious district of Madhya Pradesh, Central India from 2012 – 2014. </w:t>
      </w:r>
      <w:r w:rsidRPr="00B47E09">
        <w:rPr>
          <w:i/>
          <w:noProof/>
        </w:rPr>
        <w:t>Pathogens and Global Health,</w:t>
      </w:r>
      <w:r w:rsidRPr="00B47E09">
        <w:rPr>
          <w:noProof/>
        </w:rPr>
        <w:t xml:space="preserve"> </w:t>
      </w:r>
      <w:r w:rsidRPr="00B47E09">
        <w:rPr>
          <w:b/>
          <w:i/>
          <w:noProof/>
        </w:rPr>
        <w:t>111</w:t>
      </w:r>
      <w:r w:rsidRPr="00B47E09">
        <w:rPr>
          <w:noProof/>
        </w:rPr>
        <w:t>(4): 186–194.</w:t>
      </w:r>
    </w:p>
    <w:p w:rsidR="00B47E09" w:rsidRPr="00B47E09" w:rsidRDefault="00B47E09" w:rsidP="00B47E09">
      <w:pPr>
        <w:widowControl w:val="0"/>
        <w:autoSpaceDE w:val="0"/>
        <w:autoSpaceDN w:val="0"/>
        <w:adjustRightInd w:val="0"/>
        <w:ind w:left="480" w:hanging="480"/>
        <w:jc w:val="both"/>
        <w:rPr>
          <w:noProof/>
        </w:rPr>
      </w:pPr>
      <w:r w:rsidRPr="008A45B2">
        <w:rPr>
          <w:noProof/>
        </w:rPr>
        <w:t>Swapnil</w:t>
      </w:r>
      <w:r w:rsidRPr="00B47E09">
        <w:rPr>
          <w:noProof/>
        </w:rPr>
        <w:t xml:space="preserve">, J., &amp; Neha, S. (2015). A review about malaria and its </w:t>
      </w:r>
      <w:r w:rsidRPr="00B47E09">
        <w:rPr>
          <w:noProof/>
        </w:rPr>
        <w:lastRenderedPageBreak/>
        <w:t xml:space="preserve">treatment. </w:t>
      </w:r>
      <w:r w:rsidRPr="00B47E09">
        <w:rPr>
          <w:i/>
          <w:iCs/>
          <w:noProof/>
        </w:rPr>
        <w:t>World Journal of Pharmacy and Pharmaceutical Sciences</w:t>
      </w:r>
      <w:r w:rsidRPr="00B47E09">
        <w:rPr>
          <w:noProof/>
        </w:rPr>
        <w:t xml:space="preserve">, </w:t>
      </w:r>
      <w:r w:rsidRPr="00B47E09">
        <w:rPr>
          <w:b/>
          <w:i/>
          <w:iCs/>
          <w:noProof/>
        </w:rPr>
        <w:t>4</w:t>
      </w:r>
      <w:r w:rsidRPr="00B47E09">
        <w:rPr>
          <w:noProof/>
        </w:rPr>
        <w:t>(3), 405–431.</w:t>
      </w:r>
    </w:p>
    <w:p w:rsidR="00B47E09" w:rsidRPr="00B47E09" w:rsidRDefault="00B47E09" w:rsidP="00B47E09">
      <w:pPr>
        <w:widowControl w:val="0"/>
        <w:autoSpaceDE w:val="0"/>
        <w:autoSpaceDN w:val="0"/>
        <w:adjustRightInd w:val="0"/>
        <w:ind w:left="480" w:hanging="480"/>
        <w:jc w:val="both"/>
        <w:rPr>
          <w:noProof/>
        </w:rPr>
      </w:pPr>
      <w:r w:rsidRPr="008A45B2">
        <w:rPr>
          <w:noProof/>
        </w:rPr>
        <w:t>WHO</w:t>
      </w:r>
      <w:r w:rsidRPr="00B47E09">
        <w:rPr>
          <w:noProof/>
        </w:rPr>
        <w:t xml:space="preserve">. (2007). Methods and Techniques for clinical Trials on Antimalarial Drugs Efficacy: genotyping to identify parasite populations. </w:t>
      </w:r>
      <w:r w:rsidRPr="00B47E09">
        <w:rPr>
          <w:i/>
          <w:iCs/>
          <w:noProof/>
        </w:rPr>
        <w:t>Medicines for Malaria Venture</w:t>
      </w:r>
      <w:r w:rsidRPr="00B47E09">
        <w:rPr>
          <w:noProof/>
        </w:rPr>
        <w:t xml:space="preserve">, </w:t>
      </w:r>
      <w:r w:rsidRPr="00B47E09">
        <w:rPr>
          <w:b/>
          <w:i/>
          <w:iCs/>
          <w:noProof/>
        </w:rPr>
        <w:t>5</w:t>
      </w:r>
      <w:r w:rsidRPr="00B47E09">
        <w:rPr>
          <w:iCs/>
          <w:noProof/>
        </w:rPr>
        <w:t>:</w:t>
      </w:r>
      <w:r w:rsidRPr="00B47E09">
        <w:rPr>
          <w:noProof/>
        </w:rPr>
        <w:t xml:space="preserve"> 1–54.</w:t>
      </w:r>
    </w:p>
    <w:p w:rsidR="00B47E09" w:rsidRPr="00B47E09" w:rsidRDefault="00B47E09" w:rsidP="00B47E09">
      <w:pPr>
        <w:widowControl w:val="0"/>
        <w:autoSpaceDE w:val="0"/>
        <w:autoSpaceDN w:val="0"/>
        <w:adjustRightInd w:val="0"/>
        <w:ind w:left="480" w:hanging="480"/>
        <w:jc w:val="both"/>
        <w:rPr>
          <w:noProof/>
        </w:rPr>
      </w:pPr>
      <w:r w:rsidRPr="008A45B2">
        <w:rPr>
          <w:noProof/>
        </w:rPr>
        <w:t>WHO</w:t>
      </w:r>
      <w:r w:rsidRPr="00B47E09">
        <w:rPr>
          <w:noProof/>
        </w:rPr>
        <w:t xml:space="preserve">. (2009). Methods for surveillance of antimalarial drug efficacy. </w:t>
      </w:r>
      <w:r w:rsidRPr="00B47E09">
        <w:rPr>
          <w:i/>
          <w:iCs/>
          <w:noProof/>
        </w:rPr>
        <w:t>Medicines for Malaria Venture</w:t>
      </w:r>
      <w:r w:rsidRPr="00B47E09">
        <w:rPr>
          <w:noProof/>
        </w:rPr>
        <w:t xml:space="preserve">, </w:t>
      </w:r>
      <w:r w:rsidRPr="00B47E09">
        <w:rPr>
          <w:b/>
          <w:i/>
          <w:iCs/>
          <w:noProof/>
        </w:rPr>
        <w:t>25</w:t>
      </w:r>
      <w:r w:rsidRPr="00B47E09">
        <w:rPr>
          <w:noProof/>
        </w:rPr>
        <w:t>(6), 1–90.</w:t>
      </w:r>
    </w:p>
    <w:p w:rsidR="00B47E09" w:rsidRPr="00B47E09" w:rsidRDefault="00B47E09" w:rsidP="00B47E09">
      <w:pPr>
        <w:widowControl w:val="0"/>
        <w:autoSpaceDE w:val="0"/>
        <w:autoSpaceDN w:val="0"/>
        <w:adjustRightInd w:val="0"/>
        <w:ind w:left="480" w:hanging="480"/>
        <w:jc w:val="both"/>
        <w:rPr>
          <w:noProof/>
        </w:rPr>
      </w:pPr>
      <w:r w:rsidRPr="008A45B2">
        <w:rPr>
          <w:noProof/>
        </w:rPr>
        <w:t>WHO</w:t>
      </w:r>
      <w:r w:rsidRPr="00B47E09">
        <w:rPr>
          <w:noProof/>
        </w:rPr>
        <w:t xml:space="preserve">. (2014). Status report on artemisinin resistance. In </w:t>
      </w:r>
      <w:r w:rsidRPr="00B47E09">
        <w:rPr>
          <w:i/>
          <w:iCs/>
          <w:noProof/>
        </w:rPr>
        <w:t>Bulletin of the World Health Organization</w:t>
      </w:r>
      <w:r w:rsidRPr="00B47E09">
        <w:rPr>
          <w:noProof/>
        </w:rPr>
        <w:t xml:space="preserve"> (Vol. 13). </w:t>
      </w:r>
    </w:p>
    <w:p w:rsidR="00B47E09" w:rsidRPr="00B47E09" w:rsidRDefault="00B47E09" w:rsidP="00B47E09">
      <w:pPr>
        <w:widowControl w:val="0"/>
        <w:autoSpaceDE w:val="0"/>
        <w:autoSpaceDN w:val="0"/>
        <w:adjustRightInd w:val="0"/>
        <w:ind w:left="480" w:hanging="480"/>
        <w:jc w:val="both"/>
        <w:rPr>
          <w:noProof/>
        </w:rPr>
      </w:pPr>
      <w:r w:rsidRPr="008A45B2">
        <w:rPr>
          <w:noProof/>
        </w:rPr>
        <w:t>WHO</w:t>
      </w:r>
      <w:r w:rsidRPr="00B47E09">
        <w:rPr>
          <w:noProof/>
        </w:rPr>
        <w:t xml:space="preserve">. (2016a). Malaria sample collection. Malaria Microscopy Standard Operating Procedure. </w:t>
      </w:r>
      <w:r w:rsidRPr="00B47E09">
        <w:rPr>
          <w:i/>
          <w:noProof/>
        </w:rPr>
        <w:t xml:space="preserve">World Health </w:t>
      </w:r>
      <w:r w:rsidRPr="00B47E09">
        <w:rPr>
          <w:noProof/>
        </w:rPr>
        <w:t xml:space="preserve">Organisation,  </w:t>
      </w:r>
      <w:r w:rsidRPr="00B47E09">
        <w:rPr>
          <w:b/>
          <w:noProof/>
        </w:rPr>
        <w:t>1</w:t>
      </w:r>
      <w:r w:rsidRPr="00B47E09">
        <w:rPr>
          <w:noProof/>
        </w:rPr>
        <w:t>: 1–8.</w:t>
      </w:r>
    </w:p>
    <w:p w:rsidR="00B47E09" w:rsidRPr="00B47E09" w:rsidRDefault="00B47E09" w:rsidP="00B47E09">
      <w:pPr>
        <w:widowControl w:val="0"/>
        <w:autoSpaceDE w:val="0"/>
        <w:autoSpaceDN w:val="0"/>
        <w:adjustRightInd w:val="0"/>
        <w:ind w:left="480" w:hanging="480"/>
        <w:jc w:val="both"/>
        <w:rPr>
          <w:noProof/>
        </w:rPr>
      </w:pPr>
      <w:r w:rsidRPr="008A45B2">
        <w:rPr>
          <w:noProof/>
        </w:rPr>
        <w:t>WHO</w:t>
      </w:r>
      <w:r w:rsidRPr="00B47E09">
        <w:rPr>
          <w:noProof/>
        </w:rPr>
        <w:t xml:space="preserve">. (2016b). Filter Blot  spot prepartion. Malaria Microscopy Standard Operating Procedure. </w:t>
      </w:r>
      <w:r w:rsidRPr="00B47E09">
        <w:rPr>
          <w:i/>
          <w:noProof/>
        </w:rPr>
        <w:t xml:space="preserve">World Health </w:t>
      </w:r>
      <w:r w:rsidRPr="00B47E09">
        <w:rPr>
          <w:noProof/>
        </w:rPr>
        <w:t xml:space="preserve">Organisation, </w:t>
      </w:r>
      <w:r w:rsidRPr="00B47E09">
        <w:rPr>
          <w:b/>
          <w:noProof/>
        </w:rPr>
        <w:t>1</w:t>
      </w:r>
      <w:r w:rsidRPr="00B47E09">
        <w:rPr>
          <w:noProof/>
        </w:rPr>
        <w:t>: 1–4.</w:t>
      </w:r>
    </w:p>
    <w:p w:rsidR="00B47E09" w:rsidRPr="00B47E09" w:rsidRDefault="00B47E09" w:rsidP="00B47E09">
      <w:pPr>
        <w:widowControl w:val="0"/>
        <w:autoSpaceDE w:val="0"/>
        <w:autoSpaceDN w:val="0"/>
        <w:adjustRightInd w:val="0"/>
        <w:ind w:left="480" w:hanging="480"/>
        <w:jc w:val="both"/>
        <w:rPr>
          <w:noProof/>
        </w:rPr>
      </w:pPr>
      <w:r w:rsidRPr="008A45B2">
        <w:rPr>
          <w:noProof/>
        </w:rPr>
        <w:t>WHO</w:t>
      </w:r>
      <w:r w:rsidRPr="00B47E09">
        <w:rPr>
          <w:noProof/>
        </w:rPr>
        <w:t xml:space="preserve">. (2016c). Malaria Parasite Counting. Malaria Microscopy Standard Operating Procedure,  </w:t>
      </w:r>
      <w:r w:rsidRPr="00B47E09">
        <w:rPr>
          <w:i/>
          <w:noProof/>
        </w:rPr>
        <w:t xml:space="preserve">World Health </w:t>
      </w:r>
      <w:r w:rsidRPr="00B47E09">
        <w:rPr>
          <w:noProof/>
        </w:rPr>
        <w:t xml:space="preserve">Organisation, </w:t>
      </w:r>
      <w:r w:rsidRPr="00B47E09">
        <w:rPr>
          <w:b/>
          <w:noProof/>
        </w:rPr>
        <w:t>1</w:t>
      </w:r>
      <w:r w:rsidRPr="00B47E09">
        <w:rPr>
          <w:noProof/>
        </w:rPr>
        <w:t>: 1–5.</w:t>
      </w:r>
    </w:p>
    <w:p w:rsidR="00B47E09" w:rsidRPr="00B47E09" w:rsidRDefault="00B47E09" w:rsidP="00B47E09">
      <w:pPr>
        <w:widowControl w:val="0"/>
        <w:autoSpaceDE w:val="0"/>
        <w:autoSpaceDN w:val="0"/>
        <w:adjustRightInd w:val="0"/>
        <w:ind w:left="480" w:hanging="480"/>
        <w:jc w:val="both"/>
        <w:rPr>
          <w:noProof/>
        </w:rPr>
      </w:pPr>
      <w:r w:rsidRPr="008A45B2">
        <w:rPr>
          <w:noProof/>
        </w:rPr>
        <w:t>Zongo</w:t>
      </w:r>
      <w:r w:rsidRPr="00B47E09">
        <w:rPr>
          <w:noProof/>
        </w:rPr>
        <w:t xml:space="preserve">, I., Dorsey, G., Rouamba N., Dokomajilar C., Sere Y., (2007). Randomized comparison of amodiaquine plus sulfadozine-pyrimethamine, artemether- lumefantrine, and dihydroartemisinin – piperaquine for the treatment of uncompleted Plasmodium falciparum malaria in Burkina Faso. </w:t>
      </w:r>
      <w:r w:rsidRPr="00B47E09">
        <w:rPr>
          <w:i/>
          <w:noProof/>
        </w:rPr>
        <w:t xml:space="preserve">Clinical Infectious Diseases, </w:t>
      </w:r>
      <w:r w:rsidRPr="00B47E09">
        <w:rPr>
          <w:b/>
          <w:i/>
          <w:noProof/>
        </w:rPr>
        <w:t>45</w:t>
      </w:r>
      <w:r w:rsidRPr="00B47E09">
        <w:rPr>
          <w:noProof/>
        </w:rPr>
        <w:t>: 1453 – 1461.</w:t>
      </w:r>
    </w:p>
    <w:p w:rsidR="00B47E09" w:rsidRPr="00CD18DD" w:rsidRDefault="00B47E09" w:rsidP="00B47E09">
      <w:pPr>
        <w:jc w:val="both"/>
        <w:rPr>
          <w:sz w:val="24"/>
          <w:szCs w:val="24"/>
        </w:rPr>
      </w:pPr>
      <w:r w:rsidRPr="00B47E09">
        <w:fldChar w:fldCharType="end"/>
      </w:r>
    </w:p>
    <w:p w:rsidR="00B47E09" w:rsidRDefault="00B47E09" w:rsidP="00B47E09"/>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7742B1">
      <w:pPr>
        <w:spacing w:before="120"/>
        <w:ind w:left="360" w:hanging="360"/>
        <w:jc w:val="both"/>
        <w:rPr>
          <w:color w:val="000000"/>
        </w:rPr>
      </w:pPr>
    </w:p>
    <w:p w:rsidR="007742B1" w:rsidRDefault="007742B1" w:rsidP="00F21993">
      <w:pPr>
        <w:spacing w:before="120"/>
        <w:jc w:val="both"/>
        <w:rPr>
          <w:color w:val="000000"/>
        </w:rPr>
      </w:pPr>
    </w:p>
    <w:p w:rsidR="00CA60D2" w:rsidRDefault="00CA60D2" w:rsidP="007742B1">
      <w:pPr>
        <w:widowControl w:val="0"/>
        <w:pBdr>
          <w:top w:val="nil"/>
          <w:left w:val="nil"/>
          <w:bottom w:val="nil"/>
          <w:right w:val="nil"/>
          <w:between w:val="nil"/>
        </w:pBdr>
        <w:spacing w:before="240" w:line="252" w:lineRule="auto"/>
        <w:jc w:val="both"/>
        <w:rPr>
          <w:sz w:val="18"/>
          <w:szCs w:val="24"/>
        </w:rPr>
        <w:sectPr w:rsidR="00CA60D2" w:rsidSect="007742B1">
          <w:headerReference w:type="even" r:id="rId10"/>
          <w:headerReference w:type="default" r:id="rId11"/>
          <w:footerReference w:type="even" r:id="rId12"/>
          <w:footerReference w:type="default" r:id="rId13"/>
          <w:headerReference w:type="first" r:id="rId14"/>
          <w:pgSz w:w="12240" w:h="15840"/>
          <w:pgMar w:top="1008" w:right="936" w:bottom="1008" w:left="936" w:header="432" w:footer="432" w:gutter="0"/>
          <w:pgNumType w:start="1"/>
          <w:cols w:num="2" w:space="720" w:equalWidth="0">
            <w:col w:w="5040" w:space="288"/>
            <w:col w:w="5040" w:space="0"/>
          </w:cols>
          <w:titlePg/>
        </w:sectPr>
      </w:pPr>
    </w:p>
    <w:p w:rsidR="007742B1" w:rsidRPr="004A20D1" w:rsidRDefault="007742B1" w:rsidP="004A20D1">
      <w:pPr>
        <w:widowControl w:val="0"/>
        <w:pBdr>
          <w:top w:val="nil"/>
          <w:left w:val="nil"/>
          <w:bottom w:val="nil"/>
          <w:right w:val="nil"/>
          <w:between w:val="nil"/>
        </w:pBdr>
        <w:spacing w:before="240" w:line="252" w:lineRule="auto"/>
        <w:jc w:val="center"/>
        <w:rPr>
          <w:b/>
        </w:rPr>
      </w:pPr>
      <w:r w:rsidRPr="004A20D1">
        <w:rPr>
          <w:b/>
        </w:rPr>
        <w:lastRenderedPageBreak/>
        <w:t xml:space="preserve">Table 2: Initial Clinical and </w:t>
      </w:r>
      <w:proofErr w:type="spellStart"/>
      <w:r w:rsidRPr="004A20D1">
        <w:rPr>
          <w:b/>
        </w:rPr>
        <w:t>Parasitaemia</w:t>
      </w:r>
      <w:proofErr w:type="spellEnd"/>
      <w:r w:rsidRPr="004A20D1">
        <w:rPr>
          <w:b/>
        </w:rPr>
        <w:t xml:space="preserve"> of Subject</w:t>
      </w:r>
      <w:r w:rsidR="00CC337B">
        <w:rPr>
          <w:b/>
        </w:rPr>
        <w:t>s</w:t>
      </w:r>
      <w:r w:rsidRPr="004A20D1">
        <w:rPr>
          <w:b/>
        </w:rPr>
        <w:t xml:space="preserve"> </w:t>
      </w:r>
      <w:r w:rsidR="004A20D1">
        <w:rPr>
          <w:b/>
        </w:rPr>
        <w:t>in Murtala Muhammad Specialist Hospital</w:t>
      </w:r>
      <w:r w:rsidRPr="004A20D1">
        <w:rPr>
          <w:b/>
        </w:rPr>
        <w:t>, Kano</w:t>
      </w:r>
    </w:p>
    <w:tbl>
      <w:tblPr>
        <w:tblStyle w:val="ListTable6Colorful"/>
        <w:tblW w:w="5000" w:type="pct"/>
        <w:tblLook w:val="04A0" w:firstRow="1" w:lastRow="0" w:firstColumn="1" w:lastColumn="0" w:noHBand="0" w:noVBand="1"/>
      </w:tblPr>
      <w:tblGrid>
        <w:gridCol w:w="3819"/>
        <w:gridCol w:w="1890"/>
        <w:gridCol w:w="1702"/>
        <w:gridCol w:w="1890"/>
        <w:gridCol w:w="1283"/>
      </w:tblGrid>
      <w:tr w:rsidR="007742B1" w:rsidRPr="00F6136C" w:rsidTr="00F92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shd w:val="clear" w:color="auto" w:fill="auto"/>
          </w:tcPr>
          <w:p w:rsidR="007742B1" w:rsidRPr="00F6136C" w:rsidRDefault="007742B1" w:rsidP="00F92347">
            <w:pPr>
              <w:jc w:val="both"/>
              <w:rPr>
                <w:rFonts w:ascii="Times New Roman" w:hAnsi="Times New Roman" w:cs="Times New Roman"/>
                <w:b w:val="0"/>
                <w:sz w:val="20"/>
                <w:szCs w:val="20"/>
              </w:rPr>
            </w:pPr>
          </w:p>
        </w:tc>
        <w:tc>
          <w:tcPr>
            <w:tcW w:w="893" w:type="pct"/>
            <w:shd w:val="clear" w:color="auto" w:fill="auto"/>
          </w:tcPr>
          <w:p w:rsidR="007742B1" w:rsidRPr="00F6136C" w:rsidRDefault="007742B1"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A-L</w:t>
            </w:r>
          </w:p>
          <w:p w:rsidR="007742B1" w:rsidRPr="00F6136C" w:rsidRDefault="007742B1"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N = 73</w:t>
            </w:r>
          </w:p>
        </w:tc>
        <w:tc>
          <w:tcPr>
            <w:tcW w:w="804" w:type="pct"/>
            <w:shd w:val="clear" w:color="auto" w:fill="auto"/>
          </w:tcPr>
          <w:p w:rsidR="007742B1" w:rsidRPr="00F6136C" w:rsidRDefault="007742B1"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A-A</w:t>
            </w:r>
          </w:p>
          <w:p w:rsidR="007742B1" w:rsidRPr="00F6136C" w:rsidRDefault="007742B1"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N=73</w:t>
            </w:r>
          </w:p>
        </w:tc>
        <w:tc>
          <w:tcPr>
            <w:tcW w:w="893" w:type="pct"/>
            <w:shd w:val="clear" w:color="auto" w:fill="auto"/>
          </w:tcPr>
          <w:p w:rsidR="007742B1" w:rsidRPr="00F6136C" w:rsidRDefault="007742B1"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D-P</w:t>
            </w:r>
          </w:p>
          <w:p w:rsidR="007742B1" w:rsidRPr="00F6136C" w:rsidRDefault="007742B1"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N= 78</w:t>
            </w:r>
          </w:p>
        </w:tc>
        <w:tc>
          <w:tcPr>
            <w:tcW w:w="607" w:type="pct"/>
            <w:shd w:val="clear" w:color="auto" w:fill="auto"/>
          </w:tcPr>
          <w:p w:rsidR="007742B1" w:rsidRPr="00F6136C" w:rsidRDefault="007742B1" w:rsidP="00F923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P-value</w:t>
            </w:r>
          </w:p>
        </w:tc>
      </w:tr>
      <w:tr w:rsidR="007742B1" w:rsidRPr="00F6136C" w:rsidTr="00F9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shd w:val="clear" w:color="auto" w:fill="auto"/>
          </w:tcPr>
          <w:p w:rsidR="007742B1" w:rsidRPr="00F6136C" w:rsidRDefault="007742B1" w:rsidP="00F92347">
            <w:pPr>
              <w:spacing w:before="240"/>
              <w:rPr>
                <w:rFonts w:ascii="Times New Roman" w:hAnsi="Times New Roman" w:cs="Times New Roman"/>
                <w:b w:val="0"/>
                <w:sz w:val="20"/>
                <w:szCs w:val="20"/>
              </w:rPr>
            </w:pPr>
            <w:r w:rsidRPr="00F6136C">
              <w:rPr>
                <w:rFonts w:ascii="Times New Roman" w:hAnsi="Times New Roman" w:cs="Times New Roman"/>
                <w:b w:val="0"/>
                <w:sz w:val="20"/>
                <w:szCs w:val="20"/>
              </w:rPr>
              <w:t>Gender: Males/Females</w:t>
            </w:r>
          </w:p>
        </w:tc>
        <w:tc>
          <w:tcPr>
            <w:tcW w:w="893" w:type="pct"/>
            <w:shd w:val="clear" w:color="auto" w:fill="auto"/>
          </w:tcPr>
          <w:p w:rsidR="007742B1" w:rsidRPr="00F6136C" w:rsidRDefault="007742B1" w:rsidP="00F92347">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33/40</w:t>
            </w:r>
          </w:p>
        </w:tc>
        <w:tc>
          <w:tcPr>
            <w:tcW w:w="804"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30/43</w:t>
            </w:r>
          </w:p>
        </w:tc>
        <w:tc>
          <w:tcPr>
            <w:tcW w:w="893"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25/53</w:t>
            </w:r>
          </w:p>
        </w:tc>
        <w:tc>
          <w:tcPr>
            <w:tcW w:w="607"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0.239</w:t>
            </w:r>
          </w:p>
        </w:tc>
      </w:tr>
      <w:tr w:rsidR="007742B1" w:rsidRPr="00F6136C" w:rsidTr="00F92347">
        <w:tc>
          <w:tcPr>
            <w:cnfStyle w:val="001000000000" w:firstRow="0" w:lastRow="0" w:firstColumn="1" w:lastColumn="0" w:oddVBand="0" w:evenVBand="0" w:oddHBand="0" w:evenHBand="0" w:firstRowFirstColumn="0" w:firstRowLastColumn="0" w:lastRowFirstColumn="0" w:lastRowLastColumn="0"/>
            <w:tcW w:w="1804" w:type="pct"/>
            <w:shd w:val="clear" w:color="auto" w:fill="auto"/>
          </w:tcPr>
          <w:p w:rsidR="007742B1" w:rsidRPr="00F6136C" w:rsidRDefault="007742B1" w:rsidP="00F92347">
            <w:pPr>
              <w:jc w:val="both"/>
              <w:rPr>
                <w:rFonts w:ascii="Times New Roman" w:hAnsi="Times New Roman" w:cs="Times New Roman"/>
                <w:b w:val="0"/>
                <w:sz w:val="20"/>
                <w:szCs w:val="20"/>
              </w:rPr>
            </w:pPr>
            <w:r w:rsidRPr="00F6136C">
              <w:rPr>
                <w:rFonts w:ascii="Times New Roman" w:hAnsi="Times New Roman" w:cs="Times New Roman"/>
                <w:b w:val="0"/>
                <w:sz w:val="20"/>
                <w:szCs w:val="20"/>
              </w:rPr>
              <w:t>Age ± SD (Years)</w:t>
            </w:r>
          </w:p>
        </w:tc>
        <w:tc>
          <w:tcPr>
            <w:tcW w:w="893"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24.7 ± 10.6</w:t>
            </w:r>
          </w:p>
        </w:tc>
        <w:tc>
          <w:tcPr>
            <w:tcW w:w="804"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26.4 ± 8.3</w:t>
            </w:r>
          </w:p>
        </w:tc>
        <w:tc>
          <w:tcPr>
            <w:tcW w:w="893"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23.5 ± 11.4</w:t>
            </w:r>
          </w:p>
        </w:tc>
        <w:tc>
          <w:tcPr>
            <w:tcW w:w="607"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0.710</w:t>
            </w:r>
          </w:p>
        </w:tc>
      </w:tr>
      <w:tr w:rsidR="007742B1" w:rsidRPr="00F6136C" w:rsidTr="00F9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shd w:val="clear" w:color="auto" w:fill="auto"/>
          </w:tcPr>
          <w:p w:rsidR="007742B1" w:rsidRPr="00F6136C" w:rsidRDefault="007742B1" w:rsidP="00F92347">
            <w:pPr>
              <w:jc w:val="both"/>
              <w:rPr>
                <w:rFonts w:ascii="Times New Roman" w:hAnsi="Times New Roman" w:cs="Times New Roman"/>
                <w:b w:val="0"/>
                <w:sz w:val="20"/>
                <w:szCs w:val="20"/>
              </w:rPr>
            </w:pPr>
            <w:r w:rsidRPr="00F6136C">
              <w:rPr>
                <w:rFonts w:ascii="Times New Roman" w:hAnsi="Times New Roman" w:cs="Times New Roman"/>
                <w:b w:val="0"/>
                <w:sz w:val="20"/>
                <w:szCs w:val="20"/>
              </w:rPr>
              <w:t>Duration of fever/days (Range)</w:t>
            </w:r>
          </w:p>
        </w:tc>
        <w:tc>
          <w:tcPr>
            <w:tcW w:w="893"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2.16 (1-8)</w:t>
            </w:r>
          </w:p>
        </w:tc>
        <w:tc>
          <w:tcPr>
            <w:tcW w:w="804"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2.30 (1-6)</w:t>
            </w:r>
          </w:p>
        </w:tc>
        <w:tc>
          <w:tcPr>
            <w:tcW w:w="893"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2.04 (1-7)</w:t>
            </w:r>
          </w:p>
        </w:tc>
        <w:tc>
          <w:tcPr>
            <w:tcW w:w="607"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0.490</w:t>
            </w:r>
          </w:p>
        </w:tc>
      </w:tr>
      <w:tr w:rsidR="007742B1" w:rsidRPr="00F6136C" w:rsidTr="00F92347">
        <w:tc>
          <w:tcPr>
            <w:cnfStyle w:val="001000000000" w:firstRow="0" w:lastRow="0" w:firstColumn="1" w:lastColumn="0" w:oddVBand="0" w:evenVBand="0" w:oddHBand="0" w:evenHBand="0" w:firstRowFirstColumn="0" w:firstRowLastColumn="0" w:lastRowFirstColumn="0" w:lastRowLastColumn="0"/>
            <w:tcW w:w="1804" w:type="pct"/>
            <w:shd w:val="clear" w:color="auto" w:fill="auto"/>
          </w:tcPr>
          <w:p w:rsidR="007742B1" w:rsidRPr="00F6136C" w:rsidRDefault="007742B1" w:rsidP="00F92347">
            <w:pPr>
              <w:jc w:val="both"/>
              <w:rPr>
                <w:rFonts w:ascii="Times New Roman" w:hAnsi="Times New Roman" w:cs="Times New Roman"/>
                <w:b w:val="0"/>
                <w:sz w:val="20"/>
                <w:szCs w:val="20"/>
              </w:rPr>
            </w:pPr>
            <w:r w:rsidRPr="00F6136C">
              <w:rPr>
                <w:rFonts w:ascii="Times New Roman" w:hAnsi="Times New Roman" w:cs="Times New Roman"/>
                <w:b w:val="0"/>
                <w:sz w:val="20"/>
                <w:szCs w:val="20"/>
              </w:rPr>
              <w:t>Axillary Temperature (ºC) ± SD</w:t>
            </w:r>
          </w:p>
        </w:tc>
        <w:tc>
          <w:tcPr>
            <w:tcW w:w="893"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38.1 ± 0.5</w:t>
            </w:r>
          </w:p>
        </w:tc>
        <w:tc>
          <w:tcPr>
            <w:tcW w:w="804"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38.2 ± 0.6</w:t>
            </w:r>
          </w:p>
        </w:tc>
        <w:tc>
          <w:tcPr>
            <w:tcW w:w="893"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38.0 ± 0.3</w:t>
            </w:r>
          </w:p>
        </w:tc>
        <w:tc>
          <w:tcPr>
            <w:tcW w:w="607" w:type="pct"/>
            <w:shd w:val="clear" w:color="auto" w:fill="auto"/>
          </w:tcPr>
          <w:p w:rsidR="007742B1" w:rsidRPr="00F6136C" w:rsidRDefault="007742B1" w:rsidP="00F92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0.056</w:t>
            </w:r>
          </w:p>
        </w:tc>
      </w:tr>
      <w:tr w:rsidR="007742B1" w:rsidRPr="00F6136C" w:rsidTr="00F9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shd w:val="clear" w:color="auto" w:fill="auto"/>
          </w:tcPr>
          <w:p w:rsidR="007742B1" w:rsidRPr="00F6136C" w:rsidRDefault="007742B1" w:rsidP="00F92347">
            <w:pPr>
              <w:jc w:val="both"/>
              <w:rPr>
                <w:rFonts w:ascii="Times New Roman" w:hAnsi="Times New Roman" w:cs="Times New Roman"/>
                <w:b w:val="0"/>
                <w:sz w:val="20"/>
                <w:szCs w:val="20"/>
              </w:rPr>
            </w:pPr>
            <w:r w:rsidRPr="00F6136C">
              <w:rPr>
                <w:rFonts w:ascii="Times New Roman" w:hAnsi="Times New Roman" w:cs="Times New Roman"/>
                <w:b w:val="0"/>
                <w:sz w:val="20"/>
                <w:szCs w:val="20"/>
              </w:rPr>
              <w:t>Parasite ± SD (µL)</w:t>
            </w:r>
          </w:p>
        </w:tc>
        <w:tc>
          <w:tcPr>
            <w:tcW w:w="893"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15427 ± 4894</w:t>
            </w:r>
          </w:p>
        </w:tc>
        <w:tc>
          <w:tcPr>
            <w:tcW w:w="804"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17060 ± 5650</w:t>
            </w:r>
          </w:p>
        </w:tc>
        <w:tc>
          <w:tcPr>
            <w:tcW w:w="893"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15111 ± 4634</w:t>
            </w:r>
          </w:p>
        </w:tc>
        <w:tc>
          <w:tcPr>
            <w:tcW w:w="607" w:type="pct"/>
            <w:shd w:val="clear" w:color="auto" w:fill="auto"/>
          </w:tcPr>
          <w:p w:rsidR="007742B1" w:rsidRPr="00F6136C" w:rsidRDefault="007742B1" w:rsidP="00F92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0.064</w:t>
            </w:r>
          </w:p>
        </w:tc>
      </w:tr>
    </w:tbl>
    <w:p w:rsidR="007742B1" w:rsidRPr="004A20D1" w:rsidRDefault="007742B1" w:rsidP="007742B1">
      <w:pPr>
        <w:spacing w:before="240"/>
        <w:rPr>
          <w:sz w:val="16"/>
        </w:rPr>
      </w:pPr>
      <w:r w:rsidRPr="004A20D1">
        <w:rPr>
          <w:sz w:val="16"/>
        </w:rPr>
        <w:t>Values are Means ± Standard Deviation (SD)</w:t>
      </w:r>
    </w:p>
    <w:p w:rsidR="007742B1" w:rsidRPr="004A20D1" w:rsidRDefault="007742B1" w:rsidP="007742B1">
      <w:pPr>
        <w:jc w:val="both"/>
        <w:rPr>
          <w:sz w:val="16"/>
        </w:rPr>
      </w:pPr>
      <w:r w:rsidRPr="004A20D1">
        <w:rPr>
          <w:b/>
          <w:sz w:val="16"/>
        </w:rPr>
        <w:t>Key</w:t>
      </w:r>
      <w:r w:rsidRPr="004A20D1">
        <w:rPr>
          <w:sz w:val="16"/>
        </w:rPr>
        <w:t>:</w:t>
      </w:r>
    </w:p>
    <w:p w:rsidR="007742B1" w:rsidRPr="004A20D1" w:rsidRDefault="007742B1" w:rsidP="007742B1">
      <w:pPr>
        <w:jc w:val="both"/>
        <w:rPr>
          <w:sz w:val="16"/>
        </w:rPr>
      </w:pPr>
      <w:r w:rsidRPr="004A20D1">
        <w:rPr>
          <w:sz w:val="16"/>
        </w:rPr>
        <w:t>A-L = Artemether Lumefantrine</w:t>
      </w:r>
    </w:p>
    <w:p w:rsidR="007742B1" w:rsidRPr="004A20D1" w:rsidRDefault="007742B1" w:rsidP="007742B1">
      <w:pPr>
        <w:jc w:val="both"/>
        <w:rPr>
          <w:sz w:val="16"/>
        </w:rPr>
      </w:pPr>
      <w:r w:rsidRPr="004A20D1">
        <w:rPr>
          <w:sz w:val="16"/>
        </w:rPr>
        <w:t>A-A = Artesunate Amodiaquine</w:t>
      </w:r>
    </w:p>
    <w:p w:rsidR="007742B1" w:rsidRPr="004A20D1" w:rsidRDefault="007742B1" w:rsidP="007742B1">
      <w:pPr>
        <w:jc w:val="both"/>
        <w:rPr>
          <w:sz w:val="16"/>
        </w:rPr>
      </w:pPr>
      <w:r w:rsidRPr="004A20D1">
        <w:rPr>
          <w:sz w:val="16"/>
        </w:rPr>
        <w:t>D-P = Dihydroartemisini Piperaquine</w:t>
      </w:r>
      <w:r w:rsidRPr="004A20D1">
        <w:rPr>
          <w:sz w:val="16"/>
        </w:rPr>
        <w:tab/>
      </w:r>
    </w:p>
    <w:p w:rsidR="007742B1" w:rsidRPr="00F6136C" w:rsidRDefault="007742B1" w:rsidP="007742B1">
      <w:pPr>
        <w:spacing w:before="120"/>
        <w:ind w:left="360" w:hanging="360"/>
        <w:jc w:val="both"/>
        <w:rPr>
          <w:color w:val="000000"/>
        </w:rPr>
      </w:pPr>
    </w:p>
    <w:p w:rsidR="006214E3" w:rsidRPr="00F6136C" w:rsidRDefault="006214E3" w:rsidP="006214E3">
      <w:pPr>
        <w:jc w:val="center"/>
      </w:pPr>
      <w:r w:rsidRPr="00F6136C">
        <w:rPr>
          <w:b/>
        </w:rPr>
        <w:t xml:space="preserve">Table 3: Treatment Outcomes of ACTs to </w:t>
      </w:r>
      <w:r w:rsidRPr="00F6136C">
        <w:rPr>
          <w:b/>
          <w:i/>
        </w:rPr>
        <w:t xml:space="preserve">Plasmodium falciparum </w:t>
      </w:r>
      <w:r w:rsidRPr="00F6136C">
        <w:rPr>
          <w:b/>
        </w:rPr>
        <w:t xml:space="preserve">in </w:t>
      </w:r>
      <w:r w:rsidR="008174C4">
        <w:rPr>
          <w:b/>
        </w:rPr>
        <w:t>Murtala Muhammad Specialist Hospital</w:t>
      </w:r>
      <w:r w:rsidRPr="00F6136C">
        <w:rPr>
          <w:b/>
        </w:rPr>
        <w:t>, Kano</w:t>
      </w:r>
    </w:p>
    <w:tbl>
      <w:tblPr>
        <w:tblStyle w:val="ListTable6Colorful1"/>
        <w:tblW w:w="5000" w:type="pct"/>
        <w:shd w:val="clear" w:color="auto" w:fill="FFFFFF" w:themeFill="background1"/>
        <w:tblLook w:val="04A0" w:firstRow="1" w:lastRow="0" w:firstColumn="1" w:lastColumn="0" w:noHBand="0" w:noVBand="1"/>
      </w:tblPr>
      <w:tblGrid>
        <w:gridCol w:w="3750"/>
        <w:gridCol w:w="1740"/>
        <w:gridCol w:w="135"/>
        <w:gridCol w:w="1605"/>
        <w:gridCol w:w="135"/>
        <w:gridCol w:w="1672"/>
        <w:gridCol w:w="68"/>
        <w:gridCol w:w="1202"/>
        <w:gridCol w:w="277"/>
      </w:tblGrid>
      <w:tr w:rsidR="006214E3" w:rsidRPr="00F6136C" w:rsidTr="00F92347">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771" w:type="pct"/>
            <w:shd w:val="clear" w:color="auto" w:fill="FFFFFF" w:themeFill="background1"/>
          </w:tcPr>
          <w:p w:rsidR="006214E3" w:rsidRPr="00F6136C" w:rsidRDefault="006214E3" w:rsidP="00F92347">
            <w:pPr>
              <w:autoSpaceDE w:val="0"/>
              <w:autoSpaceDN w:val="0"/>
              <w:adjustRightInd w:val="0"/>
              <w:rPr>
                <w:rFonts w:ascii="Times New Roman" w:hAnsi="Times New Roman" w:cs="Times New Roman"/>
                <w:b w:val="0"/>
                <w:sz w:val="20"/>
                <w:szCs w:val="20"/>
              </w:rPr>
            </w:pPr>
            <w:r w:rsidRPr="00F6136C">
              <w:rPr>
                <w:rFonts w:ascii="Times New Roman" w:hAnsi="Times New Roman" w:cs="Times New Roman"/>
                <w:sz w:val="20"/>
                <w:szCs w:val="20"/>
              </w:rPr>
              <w:t xml:space="preserve">Treatment Outcomes </w:t>
            </w:r>
            <w:r w:rsidRPr="00F6136C">
              <w:rPr>
                <w:rFonts w:ascii="Times New Roman" w:hAnsi="Times New Roman" w:cs="Times New Roman"/>
                <w:b w:val="0"/>
                <w:sz w:val="20"/>
                <w:szCs w:val="20"/>
              </w:rPr>
              <w:t>(%)</w:t>
            </w:r>
          </w:p>
        </w:tc>
        <w:tc>
          <w:tcPr>
            <w:tcW w:w="3229" w:type="pct"/>
            <w:gridSpan w:val="8"/>
            <w:shd w:val="clear" w:color="auto" w:fill="FFFFFF" w:themeFill="background1"/>
          </w:tcPr>
          <w:p w:rsidR="006214E3" w:rsidRPr="00F6136C" w:rsidRDefault="006214E3" w:rsidP="00F923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 xml:space="preserve">Type of ACTs                </w:t>
            </w:r>
          </w:p>
        </w:tc>
      </w:tr>
      <w:tr w:rsidR="006214E3" w:rsidRPr="00F6136C" w:rsidTr="00F9234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771" w:type="pct"/>
            <w:shd w:val="clear" w:color="auto" w:fill="FFFFFF" w:themeFill="background1"/>
          </w:tcPr>
          <w:p w:rsidR="006214E3" w:rsidRPr="00F6136C" w:rsidRDefault="006214E3" w:rsidP="00F92347">
            <w:pPr>
              <w:autoSpaceDE w:val="0"/>
              <w:autoSpaceDN w:val="0"/>
              <w:adjustRightInd w:val="0"/>
              <w:rPr>
                <w:rFonts w:ascii="Times New Roman" w:hAnsi="Times New Roman" w:cs="Times New Roman"/>
                <w:b w:val="0"/>
                <w:sz w:val="20"/>
                <w:szCs w:val="20"/>
              </w:rPr>
            </w:pPr>
          </w:p>
        </w:tc>
        <w:tc>
          <w:tcPr>
            <w:tcW w:w="886" w:type="pct"/>
            <w:gridSpan w:val="2"/>
            <w:shd w:val="clear" w:color="auto" w:fill="FFFFFF" w:themeFill="background1"/>
          </w:tcPr>
          <w:p w:rsidR="006214E3" w:rsidRPr="00F6136C" w:rsidRDefault="006214E3"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6136C">
              <w:rPr>
                <w:rFonts w:ascii="Times New Roman" w:hAnsi="Times New Roman" w:cs="Times New Roman"/>
                <w:b/>
                <w:sz w:val="20"/>
                <w:szCs w:val="20"/>
              </w:rPr>
              <w:t>A-L</w:t>
            </w:r>
          </w:p>
          <w:p w:rsidR="006214E3" w:rsidRPr="00F6136C" w:rsidRDefault="006214E3"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n=60</w:t>
            </w:r>
          </w:p>
        </w:tc>
        <w:tc>
          <w:tcPr>
            <w:tcW w:w="822" w:type="pct"/>
            <w:gridSpan w:val="2"/>
            <w:shd w:val="clear" w:color="auto" w:fill="FFFFFF" w:themeFill="background1"/>
          </w:tcPr>
          <w:p w:rsidR="006214E3" w:rsidRPr="00F6136C" w:rsidRDefault="006214E3"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6136C">
              <w:rPr>
                <w:rFonts w:ascii="Times New Roman" w:hAnsi="Times New Roman" w:cs="Times New Roman"/>
                <w:b/>
                <w:sz w:val="20"/>
                <w:szCs w:val="20"/>
              </w:rPr>
              <w:t>A-A</w:t>
            </w:r>
          </w:p>
          <w:p w:rsidR="006214E3" w:rsidRPr="00F6136C" w:rsidRDefault="006214E3"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n=63</w:t>
            </w:r>
          </w:p>
        </w:tc>
        <w:tc>
          <w:tcPr>
            <w:tcW w:w="822" w:type="pct"/>
            <w:gridSpan w:val="2"/>
            <w:shd w:val="clear" w:color="auto" w:fill="FFFFFF" w:themeFill="background1"/>
          </w:tcPr>
          <w:p w:rsidR="006214E3" w:rsidRPr="00F6136C" w:rsidRDefault="006214E3"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6136C">
              <w:rPr>
                <w:rFonts w:ascii="Times New Roman" w:hAnsi="Times New Roman" w:cs="Times New Roman"/>
                <w:b/>
                <w:sz w:val="20"/>
                <w:szCs w:val="20"/>
              </w:rPr>
              <w:t>D-P</w:t>
            </w:r>
          </w:p>
          <w:p w:rsidR="006214E3" w:rsidRPr="00F6136C" w:rsidRDefault="006214E3"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n=70</w:t>
            </w:r>
          </w:p>
        </w:tc>
        <w:tc>
          <w:tcPr>
            <w:tcW w:w="699" w:type="pct"/>
            <w:gridSpan w:val="2"/>
            <w:shd w:val="clear" w:color="auto" w:fill="FFFFFF" w:themeFill="background1"/>
          </w:tcPr>
          <w:p w:rsidR="006214E3" w:rsidRPr="00F6136C" w:rsidRDefault="006214E3" w:rsidP="00F92347">
            <w:pPr>
              <w:cnfStyle w:val="000000100000" w:firstRow="0" w:lastRow="0" w:firstColumn="0" w:lastColumn="0" w:oddVBand="0" w:evenVBand="0" w:oddHBand="1" w:evenHBand="0" w:firstRowFirstColumn="0" w:firstRowLastColumn="0" w:lastRowFirstColumn="0" w:lastRowLastColumn="0"/>
              <w:rPr>
                <w:sz w:val="20"/>
                <w:szCs w:val="20"/>
              </w:rPr>
            </w:pPr>
          </w:p>
        </w:tc>
      </w:tr>
      <w:tr w:rsidR="006214E3" w:rsidRPr="00F6136C" w:rsidTr="00F92347">
        <w:trPr>
          <w:gridAfter w:val="1"/>
          <w:wAfter w:w="130" w:type="pct"/>
          <w:trHeight w:val="1062"/>
        </w:trPr>
        <w:tc>
          <w:tcPr>
            <w:cnfStyle w:val="001000000000" w:firstRow="0" w:lastRow="0" w:firstColumn="1" w:lastColumn="0" w:oddVBand="0" w:evenVBand="0" w:oddHBand="0" w:evenHBand="0" w:firstRowFirstColumn="0" w:firstRowLastColumn="0" w:lastRowFirstColumn="0" w:lastRowLastColumn="0"/>
            <w:tcW w:w="1771" w:type="pct"/>
            <w:shd w:val="clear" w:color="auto" w:fill="FFFFFF" w:themeFill="background1"/>
          </w:tcPr>
          <w:p w:rsidR="006214E3" w:rsidRPr="00F6136C" w:rsidRDefault="006214E3" w:rsidP="00F92347">
            <w:pPr>
              <w:autoSpaceDE w:val="0"/>
              <w:autoSpaceDN w:val="0"/>
              <w:adjustRightInd w:val="0"/>
              <w:spacing w:before="240"/>
              <w:rPr>
                <w:rFonts w:ascii="Times New Roman" w:hAnsi="Times New Roman" w:cs="Times New Roman"/>
                <w:b w:val="0"/>
                <w:sz w:val="20"/>
                <w:szCs w:val="20"/>
              </w:rPr>
            </w:pPr>
            <w:r w:rsidRPr="00F6136C">
              <w:rPr>
                <w:rFonts w:ascii="Times New Roman" w:hAnsi="Times New Roman" w:cs="Times New Roman"/>
                <w:b w:val="0"/>
                <w:sz w:val="20"/>
                <w:szCs w:val="20"/>
              </w:rPr>
              <w:t xml:space="preserve">ETF </w:t>
            </w:r>
          </w:p>
          <w:p w:rsidR="006214E3" w:rsidRPr="00F6136C" w:rsidRDefault="006214E3" w:rsidP="00F92347">
            <w:pPr>
              <w:autoSpaceDE w:val="0"/>
              <w:autoSpaceDN w:val="0"/>
              <w:adjustRightInd w:val="0"/>
              <w:rPr>
                <w:rFonts w:ascii="Times New Roman" w:hAnsi="Times New Roman" w:cs="Times New Roman"/>
                <w:b w:val="0"/>
                <w:sz w:val="20"/>
                <w:szCs w:val="20"/>
              </w:rPr>
            </w:pPr>
            <w:r w:rsidRPr="00F6136C">
              <w:rPr>
                <w:rFonts w:ascii="Times New Roman" w:hAnsi="Times New Roman" w:cs="Times New Roman"/>
                <w:b w:val="0"/>
                <w:sz w:val="20"/>
                <w:szCs w:val="20"/>
              </w:rPr>
              <w:t>Uncorrected LPF</w:t>
            </w:r>
          </w:p>
          <w:p w:rsidR="006214E3" w:rsidRPr="00F6136C" w:rsidRDefault="006214E3" w:rsidP="00F92347">
            <w:pPr>
              <w:autoSpaceDE w:val="0"/>
              <w:autoSpaceDN w:val="0"/>
              <w:adjustRightInd w:val="0"/>
              <w:rPr>
                <w:rFonts w:ascii="Times New Roman" w:hAnsi="Times New Roman" w:cs="Times New Roman"/>
                <w:b w:val="0"/>
                <w:sz w:val="20"/>
                <w:szCs w:val="20"/>
              </w:rPr>
            </w:pPr>
            <w:r w:rsidRPr="00F6136C">
              <w:rPr>
                <w:rFonts w:ascii="Times New Roman" w:hAnsi="Times New Roman" w:cs="Times New Roman"/>
                <w:b w:val="0"/>
                <w:sz w:val="20"/>
                <w:szCs w:val="20"/>
              </w:rPr>
              <w:t>28 Days ACPR</w:t>
            </w:r>
          </w:p>
        </w:tc>
        <w:tc>
          <w:tcPr>
            <w:tcW w:w="822" w:type="pct"/>
            <w:shd w:val="clear" w:color="auto" w:fill="FFFFFF" w:themeFill="background1"/>
          </w:tcPr>
          <w:p w:rsidR="006214E3" w:rsidRPr="00F6136C" w:rsidRDefault="006214E3" w:rsidP="00F92347">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13 (21.3)</w:t>
            </w:r>
          </w:p>
          <w:p w:rsidR="006214E3" w:rsidRPr="00F6136C" w:rsidRDefault="006214E3" w:rsidP="00F923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6 (9.8)</w:t>
            </w:r>
          </w:p>
          <w:p w:rsidR="006214E3" w:rsidRPr="00F6136C" w:rsidRDefault="006214E3" w:rsidP="00F923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42 (68.9)</w:t>
            </w:r>
          </w:p>
        </w:tc>
        <w:tc>
          <w:tcPr>
            <w:tcW w:w="822" w:type="pct"/>
            <w:gridSpan w:val="2"/>
            <w:shd w:val="clear" w:color="auto" w:fill="FFFFFF" w:themeFill="background1"/>
          </w:tcPr>
          <w:p w:rsidR="006214E3" w:rsidRPr="00F6136C" w:rsidRDefault="006214E3" w:rsidP="00F92347">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15 (25.0)</w:t>
            </w:r>
          </w:p>
          <w:p w:rsidR="006214E3" w:rsidRPr="00F6136C" w:rsidRDefault="006214E3" w:rsidP="00F923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8 (13.3)</w:t>
            </w:r>
          </w:p>
          <w:p w:rsidR="006214E3" w:rsidRPr="00F6136C" w:rsidRDefault="006214E3" w:rsidP="00F92347">
            <w:pPr>
              <w:tabs>
                <w:tab w:val="center" w:pos="47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37 (61.7)</w:t>
            </w:r>
          </w:p>
        </w:tc>
        <w:tc>
          <w:tcPr>
            <w:tcW w:w="854" w:type="pct"/>
            <w:gridSpan w:val="2"/>
            <w:shd w:val="clear" w:color="auto" w:fill="FFFFFF" w:themeFill="background1"/>
          </w:tcPr>
          <w:p w:rsidR="006214E3" w:rsidRPr="00F6136C" w:rsidRDefault="006214E3" w:rsidP="00F92347">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10 (14.3)</w:t>
            </w:r>
          </w:p>
          <w:p w:rsidR="006214E3" w:rsidRPr="00F6136C" w:rsidRDefault="006214E3" w:rsidP="00F923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4 (5.7)</w:t>
            </w:r>
          </w:p>
          <w:p w:rsidR="006214E3" w:rsidRPr="00F6136C" w:rsidRDefault="006214E3" w:rsidP="00F923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56 (80.0)</w:t>
            </w:r>
          </w:p>
        </w:tc>
        <w:tc>
          <w:tcPr>
            <w:tcW w:w="600" w:type="pct"/>
            <w:gridSpan w:val="2"/>
            <w:shd w:val="clear" w:color="auto" w:fill="FFFFFF" w:themeFill="background1"/>
          </w:tcPr>
          <w:p w:rsidR="006214E3" w:rsidRPr="00F6136C" w:rsidRDefault="006214E3" w:rsidP="00F92347">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0.466</w:t>
            </w:r>
          </w:p>
          <w:p w:rsidR="006214E3" w:rsidRPr="00F6136C" w:rsidRDefault="006214E3" w:rsidP="00F923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0.397</w:t>
            </w:r>
          </w:p>
          <w:p w:rsidR="006214E3" w:rsidRPr="00F6136C" w:rsidRDefault="006214E3" w:rsidP="00F923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0.003</w:t>
            </w:r>
          </w:p>
        </w:tc>
      </w:tr>
    </w:tbl>
    <w:p w:rsidR="006214E3" w:rsidRPr="004859F0" w:rsidRDefault="006214E3" w:rsidP="006214E3">
      <w:pPr>
        <w:autoSpaceDE w:val="0"/>
        <w:autoSpaceDN w:val="0"/>
        <w:adjustRightInd w:val="0"/>
        <w:spacing w:before="240"/>
        <w:jc w:val="both"/>
        <w:rPr>
          <w:sz w:val="16"/>
        </w:rPr>
      </w:pPr>
      <w:r w:rsidRPr="004859F0">
        <w:rPr>
          <w:b/>
          <w:sz w:val="16"/>
        </w:rPr>
        <w:t>Key</w:t>
      </w:r>
      <w:r w:rsidRPr="004859F0">
        <w:rPr>
          <w:sz w:val="16"/>
        </w:rPr>
        <w:t>:</w:t>
      </w:r>
    </w:p>
    <w:p w:rsidR="006214E3" w:rsidRPr="004859F0" w:rsidRDefault="006214E3" w:rsidP="006214E3">
      <w:pPr>
        <w:autoSpaceDE w:val="0"/>
        <w:autoSpaceDN w:val="0"/>
        <w:adjustRightInd w:val="0"/>
        <w:jc w:val="both"/>
        <w:rPr>
          <w:sz w:val="16"/>
        </w:rPr>
      </w:pPr>
      <w:r w:rsidRPr="004859F0">
        <w:rPr>
          <w:sz w:val="16"/>
        </w:rPr>
        <w:t>A-L = Artemether Lumefantrine</w:t>
      </w:r>
    </w:p>
    <w:p w:rsidR="006214E3" w:rsidRPr="004859F0" w:rsidRDefault="006214E3" w:rsidP="006214E3">
      <w:pPr>
        <w:autoSpaceDE w:val="0"/>
        <w:autoSpaceDN w:val="0"/>
        <w:adjustRightInd w:val="0"/>
        <w:jc w:val="both"/>
        <w:rPr>
          <w:sz w:val="16"/>
        </w:rPr>
      </w:pPr>
      <w:r w:rsidRPr="004859F0">
        <w:rPr>
          <w:sz w:val="16"/>
        </w:rPr>
        <w:t>A-A = Artesunate Amodiaquine</w:t>
      </w:r>
    </w:p>
    <w:p w:rsidR="006214E3" w:rsidRPr="004859F0" w:rsidRDefault="006214E3" w:rsidP="006214E3">
      <w:pPr>
        <w:autoSpaceDE w:val="0"/>
        <w:autoSpaceDN w:val="0"/>
        <w:adjustRightInd w:val="0"/>
        <w:jc w:val="both"/>
        <w:rPr>
          <w:sz w:val="16"/>
        </w:rPr>
      </w:pPr>
      <w:r w:rsidRPr="004859F0">
        <w:rPr>
          <w:sz w:val="16"/>
        </w:rPr>
        <w:t>D-P = Dihydroartemisini Piperaquine</w:t>
      </w:r>
    </w:p>
    <w:p w:rsidR="006214E3" w:rsidRPr="004859F0" w:rsidRDefault="006214E3" w:rsidP="006214E3">
      <w:pPr>
        <w:autoSpaceDE w:val="0"/>
        <w:autoSpaceDN w:val="0"/>
        <w:adjustRightInd w:val="0"/>
        <w:jc w:val="both"/>
        <w:rPr>
          <w:sz w:val="16"/>
        </w:rPr>
      </w:pPr>
      <w:r w:rsidRPr="004859F0">
        <w:rPr>
          <w:sz w:val="16"/>
        </w:rPr>
        <w:t>ETF = Early Treatment Failure</w:t>
      </w:r>
    </w:p>
    <w:p w:rsidR="006214E3" w:rsidRPr="004859F0" w:rsidRDefault="006214E3" w:rsidP="006214E3">
      <w:pPr>
        <w:autoSpaceDE w:val="0"/>
        <w:autoSpaceDN w:val="0"/>
        <w:adjustRightInd w:val="0"/>
        <w:jc w:val="both"/>
        <w:rPr>
          <w:sz w:val="16"/>
        </w:rPr>
      </w:pPr>
      <w:r w:rsidRPr="004859F0">
        <w:rPr>
          <w:sz w:val="16"/>
        </w:rPr>
        <w:t>LPF = Late Parasitological Failure</w:t>
      </w:r>
    </w:p>
    <w:p w:rsidR="006214E3" w:rsidRPr="004859F0" w:rsidRDefault="006214E3" w:rsidP="006214E3">
      <w:pPr>
        <w:autoSpaceDE w:val="0"/>
        <w:autoSpaceDN w:val="0"/>
        <w:adjustRightInd w:val="0"/>
        <w:jc w:val="both"/>
        <w:rPr>
          <w:sz w:val="16"/>
        </w:rPr>
      </w:pPr>
      <w:r w:rsidRPr="004859F0">
        <w:rPr>
          <w:sz w:val="16"/>
        </w:rPr>
        <w:t>ACPR = Adequate Clinical and Parasitological Response</w:t>
      </w:r>
    </w:p>
    <w:p w:rsidR="000515E5" w:rsidRPr="00F6136C" w:rsidRDefault="000515E5" w:rsidP="006214E3">
      <w:pPr>
        <w:autoSpaceDE w:val="0"/>
        <w:autoSpaceDN w:val="0"/>
        <w:adjustRightInd w:val="0"/>
        <w:jc w:val="both"/>
      </w:pPr>
    </w:p>
    <w:p w:rsidR="000515E5" w:rsidRPr="00F6136C" w:rsidRDefault="000515E5" w:rsidP="006214E3">
      <w:pPr>
        <w:autoSpaceDE w:val="0"/>
        <w:autoSpaceDN w:val="0"/>
        <w:adjustRightInd w:val="0"/>
        <w:jc w:val="both"/>
      </w:pPr>
    </w:p>
    <w:p w:rsidR="000515E5" w:rsidRPr="00F6136C" w:rsidRDefault="000515E5" w:rsidP="006214E3">
      <w:pPr>
        <w:autoSpaceDE w:val="0"/>
        <w:autoSpaceDN w:val="0"/>
        <w:adjustRightInd w:val="0"/>
        <w:jc w:val="both"/>
      </w:pPr>
    </w:p>
    <w:p w:rsidR="000515E5" w:rsidRPr="00F6136C" w:rsidRDefault="000515E5" w:rsidP="000515E5">
      <w:pPr>
        <w:jc w:val="both"/>
      </w:pPr>
      <w:r w:rsidRPr="00F6136C">
        <w:rPr>
          <w:b/>
        </w:rPr>
        <w:t xml:space="preserve">Table 4: Recrudescence/ Reinfection among Patients with Treatment Failure in </w:t>
      </w:r>
      <w:r w:rsidR="000708DA">
        <w:rPr>
          <w:b/>
        </w:rPr>
        <w:t>Murtala Muhammad Specialist Hospital</w:t>
      </w:r>
    </w:p>
    <w:tbl>
      <w:tblPr>
        <w:tblStyle w:val="ListTable6Colorful1"/>
        <w:tblW w:w="5000" w:type="pct"/>
        <w:shd w:val="clear" w:color="auto" w:fill="FFFFFF" w:themeFill="background1"/>
        <w:tblLook w:val="04A0" w:firstRow="1" w:lastRow="0" w:firstColumn="1" w:lastColumn="0" w:noHBand="0" w:noVBand="1"/>
      </w:tblPr>
      <w:tblGrid>
        <w:gridCol w:w="4473"/>
        <w:gridCol w:w="1820"/>
        <w:gridCol w:w="2210"/>
        <w:gridCol w:w="2081"/>
      </w:tblGrid>
      <w:tr w:rsidR="000515E5" w:rsidRPr="00F6136C" w:rsidTr="00F92347">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13" w:type="pct"/>
            <w:shd w:val="clear" w:color="auto" w:fill="FFFFFF" w:themeFill="background1"/>
          </w:tcPr>
          <w:p w:rsidR="000515E5" w:rsidRPr="00F6136C" w:rsidRDefault="000515E5" w:rsidP="00F92347">
            <w:pPr>
              <w:autoSpaceDE w:val="0"/>
              <w:autoSpaceDN w:val="0"/>
              <w:adjustRightInd w:val="0"/>
              <w:rPr>
                <w:rFonts w:ascii="Times New Roman" w:hAnsi="Times New Roman" w:cs="Times New Roman"/>
                <w:sz w:val="20"/>
                <w:szCs w:val="20"/>
              </w:rPr>
            </w:pPr>
            <w:r w:rsidRPr="00F6136C">
              <w:rPr>
                <w:rFonts w:ascii="Times New Roman" w:hAnsi="Times New Roman" w:cs="Times New Roman"/>
                <w:sz w:val="20"/>
                <w:szCs w:val="20"/>
              </w:rPr>
              <w:t>PCR Genotyping (%)</w:t>
            </w:r>
          </w:p>
        </w:tc>
        <w:tc>
          <w:tcPr>
            <w:tcW w:w="860" w:type="pct"/>
            <w:shd w:val="clear" w:color="auto" w:fill="FFFFFF" w:themeFill="background1"/>
          </w:tcPr>
          <w:p w:rsidR="000515E5" w:rsidRPr="00F6136C" w:rsidRDefault="000515E5" w:rsidP="00F923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136C">
              <w:rPr>
                <w:rFonts w:ascii="Times New Roman" w:hAnsi="Times New Roman" w:cs="Times New Roman"/>
                <w:sz w:val="20"/>
                <w:szCs w:val="20"/>
              </w:rPr>
              <w:t>A-L</w:t>
            </w:r>
          </w:p>
          <w:p w:rsidR="000515E5" w:rsidRPr="00F6136C" w:rsidRDefault="000515E5" w:rsidP="00F923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136C">
              <w:rPr>
                <w:rFonts w:ascii="Times New Roman" w:hAnsi="Times New Roman" w:cs="Times New Roman"/>
                <w:sz w:val="20"/>
                <w:szCs w:val="20"/>
              </w:rPr>
              <w:t>N=6</w:t>
            </w:r>
          </w:p>
        </w:tc>
        <w:tc>
          <w:tcPr>
            <w:tcW w:w="1044" w:type="pct"/>
            <w:shd w:val="clear" w:color="auto" w:fill="FFFFFF" w:themeFill="background1"/>
          </w:tcPr>
          <w:p w:rsidR="000515E5" w:rsidRPr="00F6136C" w:rsidRDefault="000515E5" w:rsidP="00F923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136C">
              <w:rPr>
                <w:rFonts w:ascii="Times New Roman" w:hAnsi="Times New Roman" w:cs="Times New Roman"/>
                <w:sz w:val="20"/>
                <w:szCs w:val="20"/>
              </w:rPr>
              <w:t>A-A</w:t>
            </w:r>
          </w:p>
          <w:p w:rsidR="000515E5" w:rsidRPr="00F6136C" w:rsidRDefault="000515E5" w:rsidP="00F923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136C">
              <w:rPr>
                <w:rFonts w:ascii="Times New Roman" w:hAnsi="Times New Roman" w:cs="Times New Roman"/>
                <w:sz w:val="20"/>
                <w:szCs w:val="20"/>
              </w:rPr>
              <w:t>N=8</w:t>
            </w:r>
          </w:p>
        </w:tc>
        <w:tc>
          <w:tcPr>
            <w:tcW w:w="983" w:type="pct"/>
            <w:shd w:val="clear" w:color="auto" w:fill="FFFFFF" w:themeFill="background1"/>
          </w:tcPr>
          <w:p w:rsidR="000515E5" w:rsidRPr="00F6136C" w:rsidRDefault="000515E5" w:rsidP="00F923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136C">
              <w:rPr>
                <w:rFonts w:ascii="Times New Roman" w:hAnsi="Times New Roman" w:cs="Times New Roman"/>
                <w:sz w:val="20"/>
                <w:szCs w:val="20"/>
              </w:rPr>
              <w:t>D-P</w:t>
            </w:r>
          </w:p>
          <w:p w:rsidR="000515E5" w:rsidRPr="00F6136C" w:rsidRDefault="000515E5" w:rsidP="00F923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136C">
              <w:rPr>
                <w:rFonts w:ascii="Times New Roman" w:hAnsi="Times New Roman" w:cs="Times New Roman"/>
                <w:sz w:val="20"/>
                <w:szCs w:val="20"/>
              </w:rPr>
              <w:t>N=4</w:t>
            </w:r>
          </w:p>
        </w:tc>
      </w:tr>
      <w:tr w:rsidR="000515E5" w:rsidRPr="00F6136C" w:rsidTr="00F92347">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113" w:type="pct"/>
            <w:shd w:val="clear" w:color="auto" w:fill="FFFFFF" w:themeFill="background1"/>
          </w:tcPr>
          <w:p w:rsidR="000515E5" w:rsidRPr="00F6136C" w:rsidRDefault="000515E5" w:rsidP="00F92347">
            <w:pPr>
              <w:autoSpaceDE w:val="0"/>
              <w:autoSpaceDN w:val="0"/>
              <w:adjustRightInd w:val="0"/>
              <w:rPr>
                <w:rFonts w:ascii="Times New Roman" w:hAnsi="Times New Roman" w:cs="Times New Roman"/>
                <w:b w:val="0"/>
                <w:sz w:val="20"/>
                <w:szCs w:val="20"/>
              </w:rPr>
            </w:pPr>
            <w:r w:rsidRPr="00F6136C">
              <w:rPr>
                <w:rFonts w:ascii="Times New Roman" w:hAnsi="Times New Roman" w:cs="Times New Roman"/>
                <w:b w:val="0"/>
                <w:sz w:val="20"/>
                <w:szCs w:val="20"/>
              </w:rPr>
              <w:t xml:space="preserve">Recrudescence </w:t>
            </w:r>
          </w:p>
          <w:p w:rsidR="000515E5" w:rsidRPr="00F6136C" w:rsidRDefault="000515E5" w:rsidP="00F92347">
            <w:pPr>
              <w:autoSpaceDE w:val="0"/>
              <w:autoSpaceDN w:val="0"/>
              <w:adjustRightInd w:val="0"/>
              <w:rPr>
                <w:rFonts w:ascii="Times New Roman" w:hAnsi="Times New Roman" w:cs="Times New Roman"/>
                <w:b w:val="0"/>
                <w:sz w:val="20"/>
                <w:szCs w:val="20"/>
              </w:rPr>
            </w:pPr>
            <w:r w:rsidRPr="00F6136C">
              <w:rPr>
                <w:rFonts w:ascii="Times New Roman" w:hAnsi="Times New Roman" w:cs="Times New Roman"/>
                <w:b w:val="0"/>
                <w:sz w:val="20"/>
                <w:szCs w:val="20"/>
              </w:rPr>
              <w:t xml:space="preserve">Reinfection </w:t>
            </w:r>
          </w:p>
          <w:p w:rsidR="000515E5" w:rsidRPr="00F6136C" w:rsidRDefault="000515E5" w:rsidP="00F92347">
            <w:pPr>
              <w:autoSpaceDE w:val="0"/>
              <w:autoSpaceDN w:val="0"/>
              <w:adjustRightInd w:val="0"/>
              <w:rPr>
                <w:rFonts w:ascii="Times New Roman" w:hAnsi="Times New Roman" w:cs="Times New Roman"/>
                <w:b w:val="0"/>
                <w:sz w:val="20"/>
                <w:szCs w:val="20"/>
              </w:rPr>
            </w:pPr>
            <w:r w:rsidRPr="00F6136C">
              <w:rPr>
                <w:rFonts w:ascii="Times New Roman" w:hAnsi="Times New Roman" w:cs="Times New Roman"/>
                <w:b w:val="0"/>
                <w:sz w:val="20"/>
                <w:szCs w:val="20"/>
              </w:rPr>
              <w:t xml:space="preserve">PCR corrected LPF </w:t>
            </w:r>
          </w:p>
          <w:p w:rsidR="000515E5" w:rsidRPr="00F6136C" w:rsidRDefault="000515E5" w:rsidP="00F92347">
            <w:pPr>
              <w:autoSpaceDE w:val="0"/>
              <w:autoSpaceDN w:val="0"/>
              <w:adjustRightInd w:val="0"/>
              <w:rPr>
                <w:rFonts w:ascii="Times New Roman" w:hAnsi="Times New Roman" w:cs="Times New Roman"/>
                <w:b w:val="0"/>
                <w:sz w:val="20"/>
                <w:szCs w:val="20"/>
              </w:rPr>
            </w:pPr>
            <w:r w:rsidRPr="00F6136C">
              <w:rPr>
                <w:rFonts w:ascii="Times New Roman" w:hAnsi="Times New Roman" w:cs="Times New Roman"/>
                <w:b w:val="0"/>
                <w:sz w:val="20"/>
                <w:szCs w:val="20"/>
              </w:rPr>
              <w:t xml:space="preserve">PCR Corrected cure rate </w:t>
            </w:r>
          </w:p>
        </w:tc>
        <w:tc>
          <w:tcPr>
            <w:tcW w:w="860" w:type="pct"/>
            <w:shd w:val="clear" w:color="auto" w:fill="FFFFFF" w:themeFill="background1"/>
          </w:tcPr>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 (50)</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 (50)</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 (4.9)</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F6136C">
              <w:rPr>
                <w:rFonts w:ascii="Times New Roman" w:hAnsi="Times New Roman" w:cs="Times New Roman"/>
                <w:sz w:val="20"/>
                <w:szCs w:val="20"/>
              </w:rPr>
              <w:t>58 (95.1)</w:t>
            </w:r>
            <w:r w:rsidRPr="00F6136C">
              <w:rPr>
                <w:rFonts w:ascii="Times New Roman" w:hAnsi="Times New Roman" w:cs="Times New Roman"/>
                <w:sz w:val="20"/>
                <w:szCs w:val="20"/>
                <w:vertAlign w:val="superscript"/>
              </w:rPr>
              <w:t>a</w:t>
            </w:r>
          </w:p>
        </w:tc>
        <w:tc>
          <w:tcPr>
            <w:tcW w:w="1044" w:type="pct"/>
            <w:shd w:val="clear" w:color="auto" w:fill="FFFFFF" w:themeFill="background1"/>
          </w:tcPr>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3 (37.5)</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5 (62.5)</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5 (8.3)</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F6136C">
              <w:rPr>
                <w:rFonts w:ascii="Times New Roman" w:hAnsi="Times New Roman" w:cs="Times New Roman"/>
                <w:sz w:val="20"/>
                <w:szCs w:val="20"/>
              </w:rPr>
              <w:t>55 (91.7)</w:t>
            </w:r>
            <w:r w:rsidRPr="00F6136C">
              <w:rPr>
                <w:rFonts w:ascii="Times New Roman" w:hAnsi="Times New Roman" w:cs="Times New Roman"/>
                <w:sz w:val="20"/>
                <w:szCs w:val="20"/>
                <w:vertAlign w:val="superscript"/>
              </w:rPr>
              <w:t>b</w:t>
            </w:r>
          </w:p>
        </w:tc>
        <w:tc>
          <w:tcPr>
            <w:tcW w:w="983" w:type="pct"/>
            <w:shd w:val="clear" w:color="auto" w:fill="FFFFFF" w:themeFill="background1"/>
          </w:tcPr>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 (50)</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 (50)</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136C">
              <w:rPr>
                <w:rFonts w:ascii="Times New Roman" w:hAnsi="Times New Roman" w:cs="Times New Roman"/>
                <w:sz w:val="20"/>
                <w:szCs w:val="20"/>
              </w:rPr>
              <w:t>2 (2.9)</w:t>
            </w:r>
          </w:p>
          <w:p w:rsidR="000515E5" w:rsidRPr="00F6136C" w:rsidRDefault="000515E5" w:rsidP="00F923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F6136C">
              <w:rPr>
                <w:rFonts w:ascii="Times New Roman" w:hAnsi="Times New Roman" w:cs="Times New Roman"/>
                <w:sz w:val="20"/>
                <w:szCs w:val="20"/>
              </w:rPr>
              <w:t>68 (97.1)</w:t>
            </w:r>
            <w:r w:rsidRPr="00F6136C">
              <w:rPr>
                <w:rFonts w:ascii="Times New Roman" w:hAnsi="Times New Roman" w:cs="Times New Roman"/>
                <w:sz w:val="20"/>
                <w:szCs w:val="20"/>
                <w:vertAlign w:val="superscript"/>
              </w:rPr>
              <w:t>a</w:t>
            </w:r>
          </w:p>
        </w:tc>
      </w:tr>
    </w:tbl>
    <w:p w:rsidR="000515E5" w:rsidRPr="00CC00E1" w:rsidRDefault="000515E5" w:rsidP="000515E5">
      <w:pPr>
        <w:spacing w:before="240"/>
        <w:rPr>
          <w:b/>
          <w:sz w:val="16"/>
        </w:rPr>
      </w:pPr>
      <w:r w:rsidRPr="00CC00E1">
        <w:rPr>
          <w:b/>
          <w:sz w:val="16"/>
        </w:rPr>
        <w:t>Note</w:t>
      </w:r>
      <w:r w:rsidRPr="00CC00E1">
        <w:rPr>
          <w:sz w:val="16"/>
        </w:rPr>
        <w:t>: PCR corrected cure rate with same superscripts are not significantly different at p&lt;0.05</w:t>
      </w:r>
    </w:p>
    <w:p w:rsidR="000515E5" w:rsidRPr="00CC00E1" w:rsidRDefault="000515E5" w:rsidP="00AE5D3A">
      <w:pPr>
        <w:rPr>
          <w:sz w:val="16"/>
        </w:rPr>
      </w:pPr>
      <w:r w:rsidRPr="00CC00E1">
        <w:rPr>
          <w:b/>
          <w:sz w:val="16"/>
        </w:rPr>
        <w:t>Key</w:t>
      </w:r>
      <w:r w:rsidRPr="00CC00E1">
        <w:rPr>
          <w:sz w:val="16"/>
        </w:rPr>
        <w:t>:</w:t>
      </w:r>
    </w:p>
    <w:p w:rsidR="000515E5" w:rsidRPr="00CC00E1" w:rsidRDefault="000515E5" w:rsidP="000515E5">
      <w:pPr>
        <w:rPr>
          <w:sz w:val="16"/>
        </w:rPr>
      </w:pPr>
      <w:r w:rsidRPr="00CC00E1">
        <w:rPr>
          <w:sz w:val="16"/>
        </w:rPr>
        <w:t>PCR = Polymerase Chain Reaction,</w:t>
      </w:r>
    </w:p>
    <w:p w:rsidR="000515E5" w:rsidRPr="00CC00E1" w:rsidRDefault="000515E5" w:rsidP="000515E5">
      <w:pPr>
        <w:rPr>
          <w:sz w:val="16"/>
        </w:rPr>
      </w:pPr>
      <w:r w:rsidRPr="00CC00E1">
        <w:rPr>
          <w:sz w:val="16"/>
        </w:rPr>
        <w:t>A-L = Artemether Lumefantrine,</w:t>
      </w:r>
    </w:p>
    <w:p w:rsidR="000515E5" w:rsidRPr="00CC00E1" w:rsidRDefault="000515E5" w:rsidP="000515E5">
      <w:pPr>
        <w:rPr>
          <w:sz w:val="16"/>
        </w:rPr>
      </w:pPr>
      <w:r w:rsidRPr="00CC00E1">
        <w:rPr>
          <w:sz w:val="16"/>
        </w:rPr>
        <w:t>A-A = Artesunate Amodiaquine</w:t>
      </w:r>
    </w:p>
    <w:p w:rsidR="000515E5" w:rsidRPr="00CC00E1" w:rsidRDefault="000515E5" w:rsidP="000515E5">
      <w:pPr>
        <w:rPr>
          <w:sz w:val="16"/>
        </w:rPr>
      </w:pPr>
      <w:r w:rsidRPr="00CC00E1">
        <w:rPr>
          <w:sz w:val="16"/>
        </w:rPr>
        <w:t xml:space="preserve">D-P = </w:t>
      </w:r>
      <w:proofErr w:type="spellStart"/>
      <w:r w:rsidRPr="00CC00E1">
        <w:rPr>
          <w:sz w:val="16"/>
        </w:rPr>
        <w:t>Dihydroartemisinin</w:t>
      </w:r>
      <w:proofErr w:type="spellEnd"/>
      <w:r w:rsidRPr="00CC00E1">
        <w:rPr>
          <w:sz w:val="16"/>
        </w:rPr>
        <w:t xml:space="preserve"> Piperaquine</w:t>
      </w:r>
    </w:p>
    <w:p w:rsidR="000515E5" w:rsidRPr="00CC00E1" w:rsidRDefault="000515E5" w:rsidP="000515E5">
      <w:pPr>
        <w:rPr>
          <w:sz w:val="16"/>
        </w:rPr>
      </w:pPr>
      <w:r w:rsidRPr="00CC00E1">
        <w:rPr>
          <w:sz w:val="16"/>
        </w:rPr>
        <w:t>LPF = Late Parasitological Failure</w:t>
      </w:r>
    </w:p>
    <w:p w:rsidR="000515E5" w:rsidRPr="00F6136C" w:rsidRDefault="000515E5" w:rsidP="006214E3">
      <w:pPr>
        <w:autoSpaceDE w:val="0"/>
        <w:autoSpaceDN w:val="0"/>
        <w:adjustRightInd w:val="0"/>
        <w:jc w:val="both"/>
        <w:rPr>
          <w:b/>
        </w:rPr>
      </w:pPr>
    </w:p>
    <w:p w:rsidR="006214E3" w:rsidRPr="00F6136C" w:rsidRDefault="006214E3" w:rsidP="007742B1">
      <w:pPr>
        <w:spacing w:before="120"/>
        <w:ind w:left="360" w:hanging="360"/>
        <w:jc w:val="both"/>
        <w:rPr>
          <w:color w:val="000000"/>
        </w:rPr>
      </w:pPr>
    </w:p>
    <w:sectPr w:rsidR="006214E3" w:rsidRPr="00F6136C" w:rsidSect="00CA60D2">
      <w:type w:val="continuous"/>
      <w:pgSz w:w="12240" w:h="15840"/>
      <w:pgMar w:top="1008" w:right="936" w:bottom="1008" w:left="936" w:header="432" w:footer="432" w:gutter="0"/>
      <w:pgNumType w:start="1"/>
      <w:cols w:space="28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A4" w:rsidRDefault="005832A4">
      <w:r>
        <w:separator/>
      </w:r>
    </w:p>
  </w:endnote>
  <w:endnote w:type="continuationSeparator" w:id="0">
    <w:p w:rsidR="005832A4" w:rsidRDefault="0058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71" w:rsidRDefault="008D7CE9">
    <w:pPr>
      <w:pBdr>
        <w:top w:val="nil"/>
        <w:left w:val="nil"/>
        <w:bottom w:val="nil"/>
        <w:right w:val="nil"/>
        <w:between w:val="nil"/>
      </w:pBdr>
      <w:tabs>
        <w:tab w:val="center" w:pos="4320"/>
        <w:tab w:val="right" w:pos="8640"/>
      </w:tabs>
      <w:rPr>
        <w:color w:val="000000"/>
      </w:rPr>
    </w:pPr>
    <w:r>
      <w:rPr>
        <w:color w:val="000000"/>
      </w:rPr>
      <w:t>DOI: 10.00000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71" w:rsidRDefault="008D7CE9">
    <w:pPr>
      <w:pBdr>
        <w:top w:val="nil"/>
        <w:left w:val="nil"/>
        <w:bottom w:val="nil"/>
        <w:right w:val="nil"/>
        <w:between w:val="nil"/>
      </w:pBdr>
      <w:tabs>
        <w:tab w:val="center" w:pos="4320"/>
        <w:tab w:val="right" w:pos="8640"/>
        <w:tab w:val="center" w:pos="5184"/>
        <w:tab w:val="right" w:pos="10368"/>
      </w:tabs>
      <w:jc w:val="right"/>
      <w:rPr>
        <w:color w:val="000000"/>
      </w:rPr>
    </w:pPr>
    <w:r>
      <w:rPr>
        <w:color w:val="000000"/>
      </w:rPr>
      <w:t>DOI: 10.00000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A4" w:rsidRDefault="005832A4">
      <w:r>
        <w:separator/>
      </w:r>
    </w:p>
  </w:footnote>
  <w:footnote w:type="continuationSeparator" w:id="0">
    <w:p w:rsidR="005832A4" w:rsidRDefault="0058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71" w:rsidRDefault="008D7CE9">
    <w:pPr>
      <w:pBdr>
        <w:top w:val="nil"/>
        <w:left w:val="nil"/>
        <w:bottom w:val="nil"/>
        <w:right w:val="nil"/>
        <w:between w:val="nil"/>
      </w:pBdr>
      <w:tabs>
        <w:tab w:val="center" w:pos="4320"/>
        <w:tab w:val="right" w:pos="8640"/>
        <w:tab w:val="right" w:pos="10350"/>
      </w:tabs>
      <w:rPr>
        <w:color w:val="000000"/>
      </w:rPr>
    </w:pPr>
    <w:r>
      <w:rPr>
        <w:color w:val="000000"/>
      </w:rPr>
      <w:fldChar w:fldCharType="begin"/>
    </w:r>
    <w:r>
      <w:rPr>
        <w:color w:val="000000"/>
      </w:rPr>
      <w:instrText>PAGE</w:instrText>
    </w:r>
    <w:r>
      <w:rPr>
        <w:color w:val="000000"/>
      </w:rPr>
      <w:fldChar w:fldCharType="separate"/>
    </w:r>
    <w:r w:rsidR="008C0D9F">
      <w:rPr>
        <w:noProof/>
        <w:color w:val="000000"/>
      </w:rPr>
      <w:t>4</w:t>
    </w:r>
    <w:r>
      <w:rPr>
        <w:color w:val="000000"/>
      </w:rPr>
      <w:fldChar w:fldCharType="end"/>
    </w:r>
    <w:r>
      <w:rPr>
        <w:color w:val="000000"/>
      </w:rPr>
      <w:tab/>
    </w:r>
    <w:r>
      <w:rPr>
        <w:color w:val="000000"/>
      </w:rPr>
      <w:tab/>
    </w:r>
    <w:proofErr w:type="spellStart"/>
    <w:r>
      <w:rPr>
        <w:color w:val="000000"/>
      </w:rPr>
      <w:t>Cihan</w:t>
    </w:r>
    <w:proofErr w:type="spellEnd"/>
    <w:r>
      <w:rPr>
        <w:color w:val="000000"/>
      </w:rPr>
      <w:t xml:space="preserve"> University-Erbil Scientific Journal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71" w:rsidRDefault="008D7CE9">
    <w:pPr>
      <w:pBdr>
        <w:top w:val="nil"/>
        <w:left w:val="nil"/>
        <w:bottom w:val="nil"/>
        <w:right w:val="nil"/>
        <w:between w:val="nil"/>
      </w:pBdr>
      <w:tabs>
        <w:tab w:val="center" w:pos="4320"/>
        <w:tab w:val="right" w:pos="8640"/>
      </w:tabs>
      <w:jc w:val="right"/>
      <w:rPr>
        <w:color w:val="000000"/>
      </w:rPr>
    </w:pPr>
    <w:proofErr w:type="spellStart"/>
    <w:r>
      <w:rPr>
        <w:color w:val="000000"/>
      </w:rPr>
      <w:t>Cihan</w:t>
    </w:r>
    <w:proofErr w:type="spellEnd"/>
    <w:r>
      <w:rPr>
        <w:color w:val="000000"/>
      </w:rPr>
      <w:t xml:space="preserve"> University-Erbil Scientific Journal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C0D9F">
      <w:rPr>
        <w:noProof/>
        <w:color w:val="000000"/>
      </w:rPr>
      <w:t>5</w:t>
    </w:r>
    <w:r>
      <w:rPr>
        <w:color w:val="000000"/>
      </w:rPr>
      <w:fldChar w:fldCharType="end"/>
    </w:r>
  </w:p>
  <w:p w:rsidR="005F0B71" w:rsidRDefault="005F0B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71" w:rsidRDefault="008D7CE9">
    <w:pPr>
      <w:pBdr>
        <w:top w:val="nil"/>
        <w:left w:val="nil"/>
        <w:bottom w:val="nil"/>
        <w:right w:val="nil"/>
        <w:between w:val="nil"/>
      </w:pBdr>
      <w:tabs>
        <w:tab w:val="center" w:pos="4320"/>
        <w:tab w:val="right" w:pos="8640"/>
        <w:tab w:val="right" w:pos="10350"/>
      </w:tabs>
      <w:rPr>
        <w:color w:val="000000"/>
      </w:rPr>
    </w:pPr>
    <w:r>
      <w:t xml:space="preserve">4th International Conference on Biological &amp; Health </w:t>
    </w:r>
    <w:proofErr w:type="gramStart"/>
    <w:r>
      <w:t xml:space="preserve">Sciences </w:t>
    </w:r>
    <w:r>
      <w:rPr>
        <w:color w:val="000000"/>
      </w:rPr>
      <w:t xml:space="preserve"> (</w:t>
    </w:r>
    <w:proofErr w:type="gramEnd"/>
    <w:hyperlink r:id="rId1">
      <w:r>
        <w:t>CIC-BIOHS’2022)</w:t>
      </w:r>
    </w:hyperlink>
    <w:r>
      <w:rPr>
        <w:color w:val="000000"/>
      </w:rPr>
      <w:t>)</w:t>
    </w:r>
    <w:r>
      <w:rPr>
        <w:color w:val="000000"/>
      </w:rPr>
      <w:tab/>
    </w:r>
    <w:r>
      <w:rPr>
        <w:color w:val="000000"/>
      </w:rPr>
      <w:fldChar w:fldCharType="begin"/>
    </w:r>
    <w:r>
      <w:rPr>
        <w:color w:val="000000"/>
      </w:rPr>
      <w:instrText>PAGE</w:instrText>
    </w:r>
    <w:r>
      <w:rPr>
        <w:color w:val="000000"/>
      </w:rPr>
      <w:fldChar w:fldCharType="separate"/>
    </w:r>
    <w:r w:rsidR="008C0D9F">
      <w:rPr>
        <w:noProof/>
        <w:color w:val="000000"/>
      </w:rPr>
      <w:t>1</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209"/>
    <w:multiLevelType w:val="multilevel"/>
    <w:tmpl w:val="6ED0ACE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11CF70EE"/>
    <w:multiLevelType w:val="multilevel"/>
    <w:tmpl w:val="60041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937CA"/>
    <w:multiLevelType w:val="hybridMultilevel"/>
    <w:tmpl w:val="993C2EAC"/>
    <w:lvl w:ilvl="0" w:tplc="7DC20BD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0947531"/>
    <w:multiLevelType w:val="multilevel"/>
    <w:tmpl w:val="91D28BB2"/>
    <w:lvl w:ilvl="0">
      <w:start w:val="1"/>
      <w:numFmt w:val="upperRoman"/>
      <w:lvlText w:val="%1."/>
      <w:lvlJc w:val="left"/>
      <w:pPr>
        <w:ind w:left="0" w:firstLine="0"/>
      </w:pPr>
    </w:lvl>
    <w:lvl w:ilvl="1">
      <w:start w:val="1"/>
      <w:numFmt w:val="upperLetter"/>
      <w:lvlText w:val="%2."/>
      <w:lvlJc w:val="left"/>
      <w:pPr>
        <w:ind w:left="0" w:firstLine="0"/>
      </w:pPr>
      <w:rPr>
        <w:sz w:val="20"/>
      </w:rPr>
    </w:lvl>
    <w:lvl w:ilvl="2">
      <w:start w:val="1"/>
      <w:numFmt w:val="decimal"/>
      <w:lvlText w:val="%3)"/>
      <w:lvlJc w:val="left"/>
      <w:pPr>
        <w:ind w:left="0" w:firstLine="0"/>
      </w:p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nsid w:val="5A913F3E"/>
    <w:multiLevelType w:val="multilevel"/>
    <w:tmpl w:val="DE561806"/>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697F6A"/>
    <w:multiLevelType w:val="hybridMultilevel"/>
    <w:tmpl w:val="AEC2D3AC"/>
    <w:lvl w:ilvl="0" w:tplc="87FC69A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1C73ACD"/>
    <w:multiLevelType w:val="multilevel"/>
    <w:tmpl w:val="F4305B3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F0B71"/>
    <w:rsid w:val="000222A1"/>
    <w:rsid w:val="00022C69"/>
    <w:rsid w:val="000515E5"/>
    <w:rsid w:val="0006517A"/>
    <w:rsid w:val="000708DA"/>
    <w:rsid w:val="000713FC"/>
    <w:rsid w:val="0008522F"/>
    <w:rsid w:val="000A2A1C"/>
    <w:rsid w:val="000B1FC4"/>
    <w:rsid w:val="000D0031"/>
    <w:rsid w:val="000E5C6D"/>
    <w:rsid w:val="00163681"/>
    <w:rsid w:val="001664A1"/>
    <w:rsid w:val="0018470A"/>
    <w:rsid w:val="001B6322"/>
    <w:rsid w:val="001B6ED7"/>
    <w:rsid w:val="001E097E"/>
    <w:rsid w:val="001F7150"/>
    <w:rsid w:val="002868AA"/>
    <w:rsid w:val="002C7555"/>
    <w:rsid w:val="002D2AB6"/>
    <w:rsid w:val="002D590A"/>
    <w:rsid w:val="002D5CCE"/>
    <w:rsid w:val="002E559F"/>
    <w:rsid w:val="0037616C"/>
    <w:rsid w:val="003E0427"/>
    <w:rsid w:val="00411511"/>
    <w:rsid w:val="004335FC"/>
    <w:rsid w:val="004859F0"/>
    <w:rsid w:val="004A20D1"/>
    <w:rsid w:val="004B5F39"/>
    <w:rsid w:val="004D3329"/>
    <w:rsid w:val="004F5345"/>
    <w:rsid w:val="0050366B"/>
    <w:rsid w:val="005832A4"/>
    <w:rsid w:val="00584213"/>
    <w:rsid w:val="00590E47"/>
    <w:rsid w:val="005D0F4B"/>
    <w:rsid w:val="005F0B71"/>
    <w:rsid w:val="005F4BFF"/>
    <w:rsid w:val="006214E3"/>
    <w:rsid w:val="0063242F"/>
    <w:rsid w:val="00654A6C"/>
    <w:rsid w:val="00695E0F"/>
    <w:rsid w:val="006C7D5B"/>
    <w:rsid w:val="006D1126"/>
    <w:rsid w:val="006E05F0"/>
    <w:rsid w:val="006E55B2"/>
    <w:rsid w:val="00706242"/>
    <w:rsid w:val="00712437"/>
    <w:rsid w:val="0073590C"/>
    <w:rsid w:val="007742B1"/>
    <w:rsid w:val="007917AE"/>
    <w:rsid w:val="00806F35"/>
    <w:rsid w:val="008174C4"/>
    <w:rsid w:val="0082710F"/>
    <w:rsid w:val="00830E96"/>
    <w:rsid w:val="00844388"/>
    <w:rsid w:val="00866CB3"/>
    <w:rsid w:val="0089577D"/>
    <w:rsid w:val="00895FA2"/>
    <w:rsid w:val="008A45B2"/>
    <w:rsid w:val="008C0D9F"/>
    <w:rsid w:val="008D7CE9"/>
    <w:rsid w:val="008F065A"/>
    <w:rsid w:val="008F096C"/>
    <w:rsid w:val="0093002D"/>
    <w:rsid w:val="00944552"/>
    <w:rsid w:val="00966E3D"/>
    <w:rsid w:val="009B2A37"/>
    <w:rsid w:val="009D698A"/>
    <w:rsid w:val="009E3A76"/>
    <w:rsid w:val="009E6C8C"/>
    <w:rsid w:val="00A359DE"/>
    <w:rsid w:val="00A37C7F"/>
    <w:rsid w:val="00A4785B"/>
    <w:rsid w:val="00A54D10"/>
    <w:rsid w:val="00A80D48"/>
    <w:rsid w:val="00AD60CE"/>
    <w:rsid w:val="00AD64FE"/>
    <w:rsid w:val="00AE5D3A"/>
    <w:rsid w:val="00B3264F"/>
    <w:rsid w:val="00B47E09"/>
    <w:rsid w:val="00B64217"/>
    <w:rsid w:val="00B92123"/>
    <w:rsid w:val="00BE57F3"/>
    <w:rsid w:val="00BF1E11"/>
    <w:rsid w:val="00CA60D2"/>
    <w:rsid w:val="00CC00E1"/>
    <w:rsid w:val="00CC337B"/>
    <w:rsid w:val="00CF1CAB"/>
    <w:rsid w:val="00D8099D"/>
    <w:rsid w:val="00D83C98"/>
    <w:rsid w:val="00D9338C"/>
    <w:rsid w:val="00D97EA6"/>
    <w:rsid w:val="00DE4420"/>
    <w:rsid w:val="00DF1803"/>
    <w:rsid w:val="00DF66F5"/>
    <w:rsid w:val="00E135B6"/>
    <w:rsid w:val="00E16FB7"/>
    <w:rsid w:val="00E3383B"/>
    <w:rsid w:val="00E5569E"/>
    <w:rsid w:val="00E940A5"/>
    <w:rsid w:val="00F17357"/>
    <w:rsid w:val="00F21993"/>
    <w:rsid w:val="00F6136C"/>
    <w:rsid w:val="00F6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80"/>
      <w:jc w:val="center"/>
      <w:outlineLvl w:val="0"/>
    </w:pPr>
    <w:rPr>
      <w:smallCaps/>
    </w:rPr>
  </w:style>
  <w:style w:type="paragraph" w:styleId="Heading2">
    <w:name w:val="heading 2"/>
    <w:basedOn w:val="Normal"/>
    <w:next w:val="Normal"/>
    <w:pPr>
      <w:keepNext/>
      <w:spacing w:before="120" w:after="60"/>
      <w:outlineLvl w:val="1"/>
    </w:pPr>
    <w:rPr>
      <w:i/>
    </w:rPr>
  </w:style>
  <w:style w:type="paragraph" w:styleId="Heading3">
    <w:name w:val="heading 3"/>
    <w:basedOn w:val="Normal"/>
    <w:next w:val="Normal"/>
    <w:pPr>
      <w:keepNext/>
      <w:ind w:left="288"/>
      <w:outlineLvl w:val="2"/>
    </w:pPr>
    <w:rPr>
      <w:i/>
    </w:rPr>
  </w:style>
  <w:style w:type="paragraph" w:styleId="Heading4">
    <w:name w:val="heading 4"/>
    <w:basedOn w:val="Normal"/>
    <w:next w:val="Normal"/>
    <w:pPr>
      <w:keepNext/>
      <w:spacing w:before="240" w:after="60"/>
      <w:ind w:left="1152" w:hanging="720"/>
      <w:outlineLvl w:val="3"/>
    </w:pPr>
    <w:rPr>
      <w:i/>
      <w:sz w:val="18"/>
      <w:szCs w:val="18"/>
    </w:rPr>
  </w:style>
  <w:style w:type="paragraph" w:styleId="Heading5">
    <w:name w:val="heading 5"/>
    <w:basedOn w:val="Normal"/>
    <w:next w:val="Normal"/>
    <w:pPr>
      <w:spacing w:before="240" w:after="60"/>
      <w:ind w:left="1872" w:hanging="720"/>
      <w:outlineLvl w:val="4"/>
    </w:pPr>
    <w:rPr>
      <w:sz w:val="18"/>
      <w:szCs w:val="18"/>
    </w:rPr>
  </w:style>
  <w:style w:type="paragraph" w:styleId="Heading6">
    <w:name w:val="heading 6"/>
    <w:basedOn w:val="Normal"/>
    <w:next w:val="Normal"/>
    <w:pPr>
      <w:spacing w:before="240" w:after="60"/>
      <w:ind w:left="2592" w:hanging="720"/>
      <w:outlineLvl w:val="5"/>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2C69"/>
    <w:rPr>
      <w:rFonts w:ascii="Tahoma" w:hAnsi="Tahoma" w:cs="Tahoma"/>
      <w:sz w:val="16"/>
      <w:szCs w:val="16"/>
    </w:rPr>
  </w:style>
  <w:style w:type="character" w:customStyle="1" w:styleId="BalloonTextChar">
    <w:name w:val="Balloon Text Char"/>
    <w:basedOn w:val="DefaultParagraphFont"/>
    <w:link w:val="BalloonText"/>
    <w:uiPriority w:val="99"/>
    <w:semiHidden/>
    <w:rsid w:val="00022C69"/>
    <w:rPr>
      <w:rFonts w:ascii="Tahoma" w:hAnsi="Tahoma" w:cs="Tahoma"/>
      <w:sz w:val="16"/>
      <w:szCs w:val="16"/>
    </w:rPr>
  </w:style>
  <w:style w:type="paragraph" w:styleId="ListParagraph">
    <w:name w:val="List Paragraph"/>
    <w:basedOn w:val="Normal"/>
    <w:uiPriority w:val="34"/>
    <w:qFormat/>
    <w:rsid w:val="00AD60CE"/>
    <w:pPr>
      <w:spacing w:after="160" w:line="259" w:lineRule="auto"/>
      <w:ind w:left="720"/>
      <w:contextualSpacing/>
    </w:pPr>
    <w:rPr>
      <w:rFonts w:asciiTheme="minorHAnsi" w:eastAsiaTheme="minorHAnsi" w:hAnsiTheme="minorHAnsi" w:cstheme="minorBidi"/>
      <w:sz w:val="22"/>
      <w:szCs w:val="22"/>
    </w:rPr>
  </w:style>
  <w:style w:type="table" w:customStyle="1" w:styleId="ListTable6Colorful1">
    <w:name w:val="List Table 6 Colorful1"/>
    <w:basedOn w:val="TableNormal"/>
    <w:next w:val="TableNormal"/>
    <w:uiPriority w:val="51"/>
    <w:rsid w:val="000A2A1C"/>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
    <w:name w:val="List Table 6 Colorful"/>
    <w:basedOn w:val="TableNormal"/>
    <w:uiPriority w:val="51"/>
    <w:rsid w:val="00A80D48"/>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712437"/>
    <w:pPr>
      <w:tabs>
        <w:tab w:val="center" w:pos="4680"/>
        <w:tab w:val="right" w:pos="9360"/>
      </w:tabs>
    </w:pPr>
  </w:style>
  <w:style w:type="character" w:customStyle="1" w:styleId="FooterChar">
    <w:name w:val="Footer Char"/>
    <w:basedOn w:val="DefaultParagraphFont"/>
    <w:link w:val="Footer"/>
    <w:uiPriority w:val="99"/>
    <w:rsid w:val="00712437"/>
  </w:style>
  <w:style w:type="character" w:customStyle="1" w:styleId="url">
    <w:name w:val="url"/>
    <w:basedOn w:val="DefaultParagraphFont"/>
    <w:rsid w:val="008C0D9F"/>
  </w:style>
  <w:style w:type="character" w:styleId="Hyperlink">
    <w:name w:val="Hyperlink"/>
    <w:basedOn w:val="DefaultParagraphFont"/>
    <w:uiPriority w:val="99"/>
    <w:semiHidden/>
    <w:unhideWhenUsed/>
    <w:rsid w:val="008C0D9F"/>
    <w:rPr>
      <w:color w:val="0000FF"/>
      <w:u w:val="single"/>
    </w:rPr>
  </w:style>
  <w:style w:type="character" w:customStyle="1" w:styleId="org">
    <w:name w:val="org"/>
    <w:basedOn w:val="DefaultParagraphFont"/>
    <w:rsid w:val="008C0D9F"/>
  </w:style>
  <w:style w:type="character" w:customStyle="1" w:styleId="adr">
    <w:name w:val="adr"/>
    <w:basedOn w:val="DefaultParagraphFont"/>
    <w:rsid w:val="008C0D9F"/>
  </w:style>
  <w:style w:type="character" w:customStyle="1" w:styleId="street-address">
    <w:name w:val="street-address"/>
    <w:basedOn w:val="DefaultParagraphFont"/>
    <w:rsid w:val="008C0D9F"/>
  </w:style>
  <w:style w:type="character" w:customStyle="1" w:styleId="locality">
    <w:name w:val="locality"/>
    <w:basedOn w:val="DefaultParagraphFont"/>
    <w:rsid w:val="008C0D9F"/>
  </w:style>
  <w:style w:type="character" w:customStyle="1" w:styleId="region">
    <w:name w:val="region"/>
    <w:basedOn w:val="DefaultParagraphFont"/>
    <w:rsid w:val="008C0D9F"/>
  </w:style>
  <w:style w:type="character" w:customStyle="1" w:styleId="postal-code">
    <w:name w:val="postal-code"/>
    <w:basedOn w:val="DefaultParagraphFont"/>
    <w:rsid w:val="008C0D9F"/>
  </w:style>
  <w:style w:type="character" w:customStyle="1" w:styleId="country-name">
    <w:name w:val="country-name"/>
    <w:basedOn w:val="DefaultParagraphFont"/>
    <w:rsid w:val="008C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80"/>
      <w:jc w:val="center"/>
      <w:outlineLvl w:val="0"/>
    </w:pPr>
    <w:rPr>
      <w:smallCaps/>
    </w:rPr>
  </w:style>
  <w:style w:type="paragraph" w:styleId="Heading2">
    <w:name w:val="heading 2"/>
    <w:basedOn w:val="Normal"/>
    <w:next w:val="Normal"/>
    <w:pPr>
      <w:keepNext/>
      <w:spacing w:before="120" w:after="60"/>
      <w:outlineLvl w:val="1"/>
    </w:pPr>
    <w:rPr>
      <w:i/>
    </w:rPr>
  </w:style>
  <w:style w:type="paragraph" w:styleId="Heading3">
    <w:name w:val="heading 3"/>
    <w:basedOn w:val="Normal"/>
    <w:next w:val="Normal"/>
    <w:pPr>
      <w:keepNext/>
      <w:ind w:left="288"/>
      <w:outlineLvl w:val="2"/>
    </w:pPr>
    <w:rPr>
      <w:i/>
    </w:rPr>
  </w:style>
  <w:style w:type="paragraph" w:styleId="Heading4">
    <w:name w:val="heading 4"/>
    <w:basedOn w:val="Normal"/>
    <w:next w:val="Normal"/>
    <w:pPr>
      <w:keepNext/>
      <w:spacing w:before="240" w:after="60"/>
      <w:ind w:left="1152" w:hanging="720"/>
      <w:outlineLvl w:val="3"/>
    </w:pPr>
    <w:rPr>
      <w:i/>
      <w:sz w:val="18"/>
      <w:szCs w:val="18"/>
    </w:rPr>
  </w:style>
  <w:style w:type="paragraph" w:styleId="Heading5">
    <w:name w:val="heading 5"/>
    <w:basedOn w:val="Normal"/>
    <w:next w:val="Normal"/>
    <w:pPr>
      <w:spacing w:before="240" w:after="60"/>
      <w:ind w:left="1872" w:hanging="720"/>
      <w:outlineLvl w:val="4"/>
    </w:pPr>
    <w:rPr>
      <w:sz w:val="18"/>
      <w:szCs w:val="18"/>
    </w:rPr>
  </w:style>
  <w:style w:type="paragraph" w:styleId="Heading6">
    <w:name w:val="heading 6"/>
    <w:basedOn w:val="Normal"/>
    <w:next w:val="Normal"/>
    <w:pPr>
      <w:spacing w:before="240" w:after="60"/>
      <w:ind w:left="2592" w:hanging="720"/>
      <w:outlineLvl w:val="5"/>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2C69"/>
    <w:rPr>
      <w:rFonts w:ascii="Tahoma" w:hAnsi="Tahoma" w:cs="Tahoma"/>
      <w:sz w:val="16"/>
      <w:szCs w:val="16"/>
    </w:rPr>
  </w:style>
  <w:style w:type="character" w:customStyle="1" w:styleId="BalloonTextChar">
    <w:name w:val="Balloon Text Char"/>
    <w:basedOn w:val="DefaultParagraphFont"/>
    <w:link w:val="BalloonText"/>
    <w:uiPriority w:val="99"/>
    <w:semiHidden/>
    <w:rsid w:val="00022C69"/>
    <w:rPr>
      <w:rFonts w:ascii="Tahoma" w:hAnsi="Tahoma" w:cs="Tahoma"/>
      <w:sz w:val="16"/>
      <w:szCs w:val="16"/>
    </w:rPr>
  </w:style>
  <w:style w:type="paragraph" w:styleId="ListParagraph">
    <w:name w:val="List Paragraph"/>
    <w:basedOn w:val="Normal"/>
    <w:uiPriority w:val="34"/>
    <w:qFormat/>
    <w:rsid w:val="00AD60CE"/>
    <w:pPr>
      <w:spacing w:after="160" w:line="259" w:lineRule="auto"/>
      <w:ind w:left="720"/>
      <w:contextualSpacing/>
    </w:pPr>
    <w:rPr>
      <w:rFonts w:asciiTheme="minorHAnsi" w:eastAsiaTheme="minorHAnsi" w:hAnsiTheme="minorHAnsi" w:cstheme="minorBidi"/>
      <w:sz w:val="22"/>
      <w:szCs w:val="22"/>
    </w:rPr>
  </w:style>
  <w:style w:type="table" w:customStyle="1" w:styleId="ListTable6Colorful1">
    <w:name w:val="List Table 6 Colorful1"/>
    <w:basedOn w:val="TableNormal"/>
    <w:next w:val="TableNormal"/>
    <w:uiPriority w:val="51"/>
    <w:rsid w:val="000A2A1C"/>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
    <w:name w:val="List Table 6 Colorful"/>
    <w:basedOn w:val="TableNormal"/>
    <w:uiPriority w:val="51"/>
    <w:rsid w:val="00A80D48"/>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712437"/>
    <w:pPr>
      <w:tabs>
        <w:tab w:val="center" w:pos="4680"/>
        <w:tab w:val="right" w:pos="9360"/>
      </w:tabs>
    </w:pPr>
  </w:style>
  <w:style w:type="character" w:customStyle="1" w:styleId="FooterChar">
    <w:name w:val="Footer Char"/>
    <w:basedOn w:val="DefaultParagraphFont"/>
    <w:link w:val="Footer"/>
    <w:uiPriority w:val="99"/>
    <w:rsid w:val="00712437"/>
  </w:style>
  <w:style w:type="character" w:customStyle="1" w:styleId="url">
    <w:name w:val="url"/>
    <w:basedOn w:val="DefaultParagraphFont"/>
    <w:rsid w:val="008C0D9F"/>
  </w:style>
  <w:style w:type="character" w:styleId="Hyperlink">
    <w:name w:val="Hyperlink"/>
    <w:basedOn w:val="DefaultParagraphFont"/>
    <w:uiPriority w:val="99"/>
    <w:semiHidden/>
    <w:unhideWhenUsed/>
    <w:rsid w:val="008C0D9F"/>
    <w:rPr>
      <w:color w:val="0000FF"/>
      <w:u w:val="single"/>
    </w:rPr>
  </w:style>
  <w:style w:type="character" w:customStyle="1" w:styleId="org">
    <w:name w:val="org"/>
    <w:basedOn w:val="DefaultParagraphFont"/>
    <w:rsid w:val="008C0D9F"/>
  </w:style>
  <w:style w:type="character" w:customStyle="1" w:styleId="adr">
    <w:name w:val="adr"/>
    <w:basedOn w:val="DefaultParagraphFont"/>
    <w:rsid w:val="008C0D9F"/>
  </w:style>
  <w:style w:type="character" w:customStyle="1" w:styleId="street-address">
    <w:name w:val="street-address"/>
    <w:basedOn w:val="DefaultParagraphFont"/>
    <w:rsid w:val="008C0D9F"/>
  </w:style>
  <w:style w:type="character" w:customStyle="1" w:styleId="locality">
    <w:name w:val="locality"/>
    <w:basedOn w:val="DefaultParagraphFont"/>
    <w:rsid w:val="008C0D9F"/>
  </w:style>
  <w:style w:type="character" w:customStyle="1" w:styleId="region">
    <w:name w:val="region"/>
    <w:basedOn w:val="DefaultParagraphFont"/>
    <w:rsid w:val="008C0D9F"/>
  </w:style>
  <w:style w:type="character" w:customStyle="1" w:styleId="postal-code">
    <w:name w:val="postal-code"/>
    <w:basedOn w:val="DefaultParagraphFont"/>
    <w:rsid w:val="008C0D9F"/>
  </w:style>
  <w:style w:type="character" w:customStyle="1" w:styleId="country-name">
    <w:name w:val="country-name"/>
    <w:basedOn w:val="DefaultParagraphFont"/>
    <w:rsid w:val="008C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lm.nih.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conferences.cihanuniversity.edu.iq/index.php/BIOS/BIOHS22/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4318</Words>
  <Characters>24615</Characters>
  <Application>Microsoft Office Word</Application>
  <DocSecurity>0</DocSecurity>
  <Lines>205</Lines>
  <Paragraphs>57</Paragraphs>
  <ScaleCrop>false</ScaleCrop>
  <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 MAIGARI</cp:lastModifiedBy>
  <cp:revision>103</cp:revision>
  <dcterms:created xsi:type="dcterms:W3CDTF">2022-03-07T11:10:00Z</dcterms:created>
  <dcterms:modified xsi:type="dcterms:W3CDTF">2022-03-14T01:09:00Z</dcterms:modified>
</cp:coreProperties>
</file>